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53EC3A">
      <w:pPr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autoSpaceDE w:val="0"/>
        <w:autoSpaceDN w:val="0"/>
        <w:snapToGrid w:val="0"/>
        <w:jc w:val="both"/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  <w:t>附件1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  <w:t>：</w:t>
      </w:r>
      <w:bookmarkStart w:id="0" w:name="_GoBack"/>
      <w:bookmarkEnd w:id="0"/>
    </w:p>
    <w:tbl>
      <w:tblPr>
        <w:tblStyle w:val="2"/>
        <w:tblW w:w="152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00"/>
      </w:tblGrid>
      <w:tr w14:paraId="1D937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B2F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2400" w:leftChars="304" w:hanging="1762" w:hangingChars="400"/>
              <w:jc w:val="center"/>
              <w:textAlignment w:val="auto"/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四川光雾山文旅康养产业有限公司</w:t>
            </w:r>
          </w:p>
          <w:p w14:paraId="2E93E4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2400" w:leftChars="304" w:hanging="1762" w:hangingChars="40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zh-CN" w:bidi="zh-CN"/>
              </w:rPr>
            </w:pPr>
            <w:r>
              <w:rPr>
                <w:rFonts w:hint="eastAsia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公开</w:t>
            </w:r>
            <w:r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招聘</w:t>
            </w:r>
            <w:r>
              <w:rPr>
                <w:rFonts w:hint="eastAsia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2名专业人才</w:t>
            </w:r>
            <w:r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岗位表</w:t>
            </w:r>
          </w:p>
        </w:tc>
      </w:tr>
    </w:tbl>
    <w:tbl>
      <w:tblPr>
        <w:tblStyle w:val="2"/>
        <w:tblpPr w:leftFromText="180" w:rightFromText="180" w:vertAnchor="text" w:horzAnchor="page" w:tblpX="1200" w:tblpY="329"/>
        <w:tblOverlap w:val="never"/>
        <w:tblW w:w="145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2"/>
        <w:gridCol w:w="1230"/>
        <w:gridCol w:w="1131"/>
        <w:gridCol w:w="4546"/>
        <w:gridCol w:w="4131"/>
        <w:gridCol w:w="1811"/>
        <w:gridCol w:w="889"/>
      </w:tblGrid>
      <w:tr w14:paraId="66A7B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AAD5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F032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78103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岗位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（人数）</w:t>
            </w:r>
          </w:p>
        </w:tc>
        <w:tc>
          <w:tcPr>
            <w:tcW w:w="4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B996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任职条件</w:t>
            </w:r>
          </w:p>
        </w:tc>
        <w:tc>
          <w:tcPr>
            <w:tcW w:w="4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5FD88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1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20D5F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薪酬待遇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787E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 w14:paraId="145A0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5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19A39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4280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财务审计部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EDB8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部门经理</w:t>
            </w:r>
          </w:p>
          <w:p w14:paraId="03F084D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4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FD213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年龄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7CC862D2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211、985高校全日制硕士研究生及以上学历；</w:t>
            </w:r>
          </w:p>
          <w:p w14:paraId="776E31DB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.工商管理类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、经济学类、法学类相关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0F239549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具有4年及以上财务工作经验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2A3F1AFE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.中共党员、有党政事业单位及国企相关工作经验者优先。</w:t>
            </w:r>
          </w:p>
        </w:tc>
        <w:tc>
          <w:tcPr>
            <w:tcW w:w="4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FB289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制定并执行年度审计计划，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开展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公司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年度预算和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决算工作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52EC7FAF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收集并分析审计证据，编写审计工作底稿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，对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审计发现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的问题提出整改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建议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46A02057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评估内部控制体系，定期对公司进行财务状况、财务风险分析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识别潜在风险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提出改进建议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确保财务活动合规与安全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5D4F8058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完善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财务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制度，优化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财务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流程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68E5F5AF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sans-serif" w:hAnsi="sans-serif" w:eastAsia="宋体" w:cs="sans-serif"/>
                <w:i w:val="0"/>
                <w:iCs w:val="0"/>
                <w:caps w:val="0"/>
                <w:color w:val="1F1F1F"/>
                <w:spacing w:val="0"/>
                <w:kern w:val="0"/>
                <w:sz w:val="19"/>
                <w:szCs w:val="19"/>
                <w:shd w:val="clear" w:fill="FFFFFF"/>
                <w:lang w:val="en-US" w:eastAsia="zh-CN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部门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日常管理工作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。</w:t>
            </w:r>
          </w:p>
        </w:tc>
        <w:tc>
          <w:tcPr>
            <w:tcW w:w="1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49142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薪酬由基本薪酬、绩效薪酬和法定福利待遇构成，约10万-15万元/年。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C87C8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</w:p>
        </w:tc>
      </w:tr>
      <w:tr w14:paraId="42EA99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7E352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812C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投资发展部 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221A5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投资发展主管</w:t>
            </w:r>
          </w:p>
          <w:p w14:paraId="365F8A4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（1人） </w:t>
            </w:r>
          </w:p>
        </w:tc>
        <w:tc>
          <w:tcPr>
            <w:tcW w:w="4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C4F8F5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年龄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周岁及以下，</w:t>
            </w:r>
          </w:p>
          <w:p w14:paraId="5E400BA5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lang w:val="en-US" w:eastAsia="zh-CN" w:bidi="ar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211、985高校全日制硕士研究生及以上学历；</w:t>
            </w:r>
          </w:p>
          <w:p w14:paraId="341F903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经济学类、法学类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、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工商管理类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；</w:t>
            </w:r>
          </w:p>
          <w:p w14:paraId="1F5D589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.中共党员、有党政事业单位及国企相关工作经验者优先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。</w:t>
            </w:r>
          </w:p>
        </w:tc>
        <w:tc>
          <w:tcPr>
            <w:tcW w:w="4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45CE7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1.负责公司投资战略的制定，评估投资项目，进行市场调研和风险分析；</w:t>
            </w:r>
          </w:p>
          <w:p w14:paraId="60A5456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2.负责投资项目的筛选、谈判、签约及后续管理工作；</w:t>
            </w:r>
          </w:p>
          <w:p w14:paraId="1742B5C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3.定期分析公司及各业务板块的运营情况，评估投资项目的经营绩效，提出改进建议。</w:t>
            </w:r>
          </w:p>
          <w:p w14:paraId="799739E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1F1F1F"/>
                <w:spacing w:val="0"/>
                <w:kern w:val="0"/>
                <w:sz w:val="19"/>
                <w:szCs w:val="19"/>
                <w:shd w:val="clear" w:fill="FFFFFF"/>
                <w:lang w:val="en-US" w:eastAsia="zh-CN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收集并分析与公司投资、发展相关的市场信息、政策动态等，为公司决策层提供决策依据。</w:t>
            </w:r>
          </w:p>
        </w:tc>
        <w:tc>
          <w:tcPr>
            <w:tcW w:w="1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7504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薪酬由基本薪酬、绩效薪酬和法定福利待遇构成，约9万-13万元/年。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B74EC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zh-CN" w:bidi="zh-CN"/>
              </w:rPr>
            </w:pPr>
          </w:p>
        </w:tc>
      </w:tr>
    </w:tbl>
    <w:p w14:paraId="6F6C0FEE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FC7C19"/>
    <w:rsid w:val="62C7181E"/>
    <w:rsid w:val="74FC7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2025-04-01T06:25:00Z</dcterms:created>
  <dc:creator>一缕阳光</dc:creator>
  <cp:lastModifiedBy>一缕阳光</cp:lastModifiedBy>
  <dcterms:modified xsi:type="dcterms:W3CDTF">2025-04-01T06:28:57Z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2BDC5B7648A349D5AE1C4829BDE7F1F5_11</vt:lpwstr>
  </property>
  <property fmtid="{D5CDD505-2E9C-101B-9397-08002B2CF9AE}" pid="4" name="KSOTemplateDocerSaveRecord">
    <vt:lpwstr>eyJoZGlkIjoiYTRkZGQ0MDE2NjI5NGY2YzM1ODMyMzY4OWQ0ZjRlODkiLCJ1c2VySWQiOiI0MzUyMTIwOTMifQ==</vt:lpwstr>
  </property>
</Properties>
</file>