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8E2FA3">
      <w:pPr>
        <w:keepNext w:val="0"/>
        <w:keepLines w:val="0"/>
        <w:pageBreakBefore w:val="0"/>
        <w:widowControl/>
        <w:shd w:val="clear" w:color="auto" w:fill="FFFFFF"/>
        <w:kinsoku/>
        <w:wordWrap w:val="0"/>
        <w:overflowPunct/>
        <w:topLinePunct w:val="0"/>
        <w:autoSpaceDE/>
        <w:autoSpaceDN/>
        <w:bidi w:val="0"/>
        <w:adjustRightInd w:val="0"/>
        <w:snapToGrid w:val="0"/>
        <w:spacing w:before="313" w:beforeLines="100" w:line="240" w:lineRule="auto"/>
        <w:jc w:val="left"/>
        <w:textAlignment w:val="auto"/>
        <w:rPr>
          <w:rFonts w:hint="eastAsia" w:ascii="黑体" w:hAnsi="黑体" w:eastAsia="黑体" w:cs="黑体"/>
          <w:color w:val="auto"/>
          <w:spacing w:val="15"/>
          <w:kern w:val="0"/>
          <w:sz w:val="32"/>
          <w:szCs w:val="32"/>
        </w:rPr>
      </w:pPr>
      <w:r>
        <w:rPr>
          <w:rFonts w:hint="eastAsia" w:ascii="黑体" w:hAnsi="黑体" w:eastAsia="黑体" w:cs="黑体"/>
          <w:color w:val="auto"/>
          <w:spacing w:val="15"/>
          <w:kern w:val="0"/>
          <w:sz w:val="32"/>
          <w:szCs w:val="32"/>
        </w:rPr>
        <w:t>附件</w:t>
      </w:r>
    </w:p>
    <w:p w14:paraId="03EF28E2">
      <w:pPr>
        <w:keepNext w:val="0"/>
        <w:keepLines w:val="0"/>
        <w:pageBreakBefore w:val="0"/>
        <w:widowControl/>
        <w:shd w:val="clear" w:color="auto" w:fill="FFFFFF"/>
        <w:kinsoku/>
        <w:wordWrap w:val="0"/>
        <w:overflowPunct/>
        <w:topLinePunct w:val="0"/>
        <w:autoSpaceDE/>
        <w:autoSpaceDN/>
        <w:bidi w:val="0"/>
        <w:adjustRightInd w:val="0"/>
        <w:snapToGrid w:val="0"/>
        <w:spacing w:line="500" w:lineRule="exact"/>
        <w:jc w:val="left"/>
        <w:textAlignment w:val="auto"/>
        <w:rPr>
          <w:rFonts w:hint="eastAsia" w:ascii="黑体" w:hAnsi="黑体" w:eastAsia="黑体" w:cs="黑体"/>
          <w:color w:val="auto"/>
          <w:spacing w:val="15"/>
          <w:kern w:val="0"/>
          <w:sz w:val="32"/>
          <w:szCs w:val="32"/>
        </w:rPr>
      </w:pPr>
    </w:p>
    <w:p w14:paraId="76F7558F">
      <w:pPr>
        <w:keepNext w:val="0"/>
        <w:keepLines w:val="0"/>
        <w:pageBreakBefore w:val="0"/>
        <w:kinsoku/>
        <w:overflowPunct/>
        <w:topLinePunct w:val="0"/>
        <w:autoSpaceDE/>
        <w:autoSpaceDN/>
        <w:bidi w:val="0"/>
        <w:adjustRightInd w:val="0"/>
        <w:snapToGrid w:val="0"/>
        <w:spacing w:line="500" w:lineRule="exact"/>
        <w:jc w:val="center"/>
        <w:textAlignment w:val="auto"/>
        <w:rPr>
          <w:rFonts w:hint="eastAsia" w:ascii="方正小标宋简体" w:hAnsi="方正小标宋简体" w:eastAsia="方正小标宋简体" w:cs="方正小标宋简体"/>
          <w:color w:val="auto"/>
          <w:spacing w:val="-11"/>
          <w:sz w:val="44"/>
          <w:szCs w:val="44"/>
          <w:lang w:val="en-US" w:eastAsia="zh-CN"/>
        </w:rPr>
      </w:pPr>
      <w:r>
        <w:rPr>
          <w:rFonts w:hint="eastAsia" w:ascii="方正小标宋简体" w:hAnsi="方正小标宋简体" w:eastAsia="方正小标宋简体" w:cs="方正小标宋简体"/>
          <w:color w:val="auto"/>
          <w:spacing w:val="-11"/>
          <w:sz w:val="44"/>
          <w:szCs w:val="44"/>
          <w:lang w:val="en-US" w:eastAsia="zh-CN"/>
        </w:rPr>
        <w:t>关于南江县2025年第20批次建设用地征地占用林地报批工作服务费用报价回执函</w:t>
      </w:r>
    </w:p>
    <w:p w14:paraId="556801AA">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right="0" w:rightChars="0"/>
        <w:jc w:val="both"/>
        <w:textAlignment w:val="auto"/>
        <w:rPr>
          <w:rFonts w:hint="eastAsia" w:ascii="仿宋_GB2312" w:hAnsi="仿宋_GB2312" w:eastAsia="仿宋_GB2312" w:cs="仿宋_GB2312"/>
          <w:kern w:val="0"/>
          <w:sz w:val="28"/>
          <w:szCs w:val="28"/>
          <w:lang w:val="en-US" w:eastAsia="zh-CN" w:bidi="ar"/>
        </w:rPr>
      </w:pPr>
    </w:p>
    <w:p w14:paraId="53980EBB">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jc w:val="both"/>
        <w:textAlignment w:val="auto"/>
        <w:rPr>
          <w:rFonts w:hint="default" w:ascii="Times New Roman" w:hAnsi="Times New Roman" w:eastAsia="方正仿宋_GBK" w:cs="Times New Roman"/>
          <w:color w:val="333333"/>
          <w:kern w:val="0"/>
          <w:sz w:val="32"/>
          <w:szCs w:val="32"/>
          <w:lang w:val="en-US" w:eastAsia="zh-CN" w:bidi="ar"/>
        </w:rPr>
      </w:pPr>
      <w:r>
        <w:rPr>
          <w:rFonts w:hint="eastAsia" w:ascii="Times New Roman" w:hAnsi="Times New Roman" w:eastAsia="方正仿宋_GBK" w:cs="Times New Roman"/>
          <w:color w:val="333333"/>
          <w:kern w:val="0"/>
          <w:sz w:val="32"/>
          <w:szCs w:val="32"/>
          <w:lang w:val="en-US" w:eastAsia="zh-CN" w:bidi="ar"/>
        </w:rPr>
        <w:t>巴中市</w:t>
      </w:r>
      <w:r>
        <w:rPr>
          <w:rFonts w:hint="default" w:ascii="Times New Roman" w:hAnsi="Times New Roman" w:eastAsia="方正仿宋_GBK" w:cs="Times New Roman"/>
          <w:color w:val="333333"/>
          <w:kern w:val="0"/>
          <w:sz w:val="32"/>
          <w:szCs w:val="32"/>
          <w:lang w:val="en-US" w:eastAsia="zh-CN" w:bidi="ar"/>
        </w:rPr>
        <w:t>光雾山诺水河文旅融合发展示范区</w:t>
      </w:r>
      <w:r>
        <w:rPr>
          <w:rFonts w:hint="eastAsia" w:ascii="Times New Roman" w:hAnsi="Times New Roman" w:eastAsia="方正仿宋_GBK" w:cs="Times New Roman"/>
          <w:color w:val="333333"/>
          <w:kern w:val="0"/>
          <w:sz w:val="32"/>
          <w:szCs w:val="32"/>
          <w:lang w:val="en-US" w:eastAsia="zh-CN" w:bidi="ar"/>
        </w:rPr>
        <w:t>土地储备中心</w:t>
      </w:r>
      <w:r>
        <w:rPr>
          <w:rFonts w:hint="default" w:ascii="Times New Roman" w:hAnsi="Times New Roman" w:eastAsia="方正仿宋_GBK" w:cs="Times New Roman"/>
          <w:color w:val="333333"/>
          <w:kern w:val="0"/>
          <w:sz w:val="32"/>
          <w:szCs w:val="32"/>
          <w:lang w:val="en-US" w:eastAsia="zh-CN" w:bidi="ar"/>
        </w:rPr>
        <w:t>：</w:t>
      </w:r>
    </w:p>
    <w:p w14:paraId="5B833D16">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我公司已认真阅读贵单位在巴中市光雾山诺水河文旅融合发展示范区门户网站上发布的《关于南江县2025年第20批次建设用地</w:t>
      </w:r>
      <w:r>
        <w:rPr>
          <w:rFonts w:hint="eastAsia" w:ascii="Times New Roman" w:hAnsi="Times New Roman" w:eastAsia="方正仿宋_GBK" w:cs="Times New Roman"/>
          <w:color w:val="333333"/>
          <w:kern w:val="0"/>
          <w:sz w:val="32"/>
          <w:szCs w:val="32"/>
          <w:lang w:val="en-US" w:eastAsia="zh-CN" w:bidi="ar"/>
        </w:rPr>
        <w:t>征地占用林地报批</w:t>
      </w:r>
      <w:r>
        <w:rPr>
          <w:rFonts w:hint="default" w:ascii="Times New Roman" w:hAnsi="Times New Roman" w:eastAsia="方正仿宋_GBK" w:cs="Times New Roman"/>
          <w:color w:val="333333"/>
          <w:kern w:val="0"/>
          <w:sz w:val="32"/>
          <w:szCs w:val="32"/>
          <w:lang w:val="en-US" w:eastAsia="zh-CN" w:bidi="ar"/>
        </w:rPr>
        <w:t>工作服务费用的询价公告》，经认真研究，决定参加本次报价。</w:t>
      </w:r>
    </w:p>
    <w:p w14:paraId="092F68F3">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eastAsia" w:ascii="方正黑体_GBK" w:hAnsi="方正黑体_GBK" w:eastAsia="方正黑体_GBK" w:cs="方正黑体_GBK"/>
          <w:color w:val="333333"/>
          <w:kern w:val="0"/>
          <w:sz w:val="32"/>
          <w:szCs w:val="32"/>
          <w:lang w:val="en-US" w:eastAsia="zh-CN" w:bidi="ar"/>
        </w:rPr>
      </w:pPr>
      <w:r>
        <w:rPr>
          <w:rFonts w:hint="eastAsia" w:ascii="方正黑体_GBK" w:hAnsi="方正黑体_GBK" w:eastAsia="方正黑体_GBK" w:cs="方正黑体_GBK"/>
          <w:color w:val="333333"/>
          <w:kern w:val="0"/>
          <w:sz w:val="32"/>
          <w:szCs w:val="32"/>
          <w:lang w:val="en-US" w:eastAsia="zh-CN" w:bidi="ar"/>
        </w:rPr>
        <w:t>一、报价</w:t>
      </w:r>
    </w:p>
    <w:p w14:paraId="350A1738">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南江县2025年第20批次建设用地</w:t>
      </w:r>
      <w:r>
        <w:rPr>
          <w:rFonts w:hint="eastAsia" w:ascii="Times New Roman" w:hAnsi="Times New Roman" w:eastAsia="方正仿宋_GBK" w:cs="Times New Roman"/>
          <w:color w:val="333333"/>
          <w:kern w:val="0"/>
          <w:sz w:val="32"/>
          <w:szCs w:val="32"/>
          <w:lang w:val="en-US" w:eastAsia="zh-CN" w:bidi="ar"/>
        </w:rPr>
        <w:t>征地占用林地报批</w:t>
      </w:r>
      <w:r>
        <w:rPr>
          <w:rFonts w:hint="default" w:ascii="Times New Roman" w:hAnsi="Times New Roman" w:eastAsia="方正仿宋_GBK" w:cs="Times New Roman"/>
          <w:color w:val="333333"/>
          <w:kern w:val="0"/>
          <w:sz w:val="32"/>
          <w:szCs w:val="32"/>
          <w:lang w:val="en-US" w:eastAsia="zh-CN" w:bidi="ar"/>
        </w:rPr>
        <w:t>工作服务费用</w:t>
      </w:r>
      <w:r>
        <w:rPr>
          <w:rFonts w:hint="default" w:ascii="Times New Roman" w:hAnsi="Times New Roman" w:eastAsia="方正仿宋_GBK" w:cs="Times New Roman"/>
          <w:color w:val="333333"/>
          <w:kern w:val="0"/>
          <w:sz w:val="32"/>
          <w:szCs w:val="32"/>
          <w:u w:val="single"/>
          <w:lang w:val="en-US" w:eastAsia="zh-CN" w:bidi="ar"/>
        </w:rPr>
        <w:t>           </w:t>
      </w:r>
      <w:r>
        <w:rPr>
          <w:rFonts w:hint="default" w:ascii="Times New Roman" w:hAnsi="Times New Roman" w:eastAsia="方正仿宋_GBK" w:cs="Times New Roman"/>
          <w:color w:val="333333"/>
          <w:kern w:val="0"/>
          <w:sz w:val="32"/>
          <w:szCs w:val="32"/>
          <w:lang w:val="en-US" w:eastAsia="zh-CN" w:bidi="ar"/>
        </w:rPr>
        <w:t>万元。</w:t>
      </w:r>
    </w:p>
    <w:p w14:paraId="1428D3C9">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注：报价保留2位小数。</w:t>
      </w:r>
    </w:p>
    <w:p w14:paraId="4D7BFF14">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方正黑体_GBK" w:hAnsi="方正黑体_GBK" w:eastAsia="方正黑体_GBK" w:cs="方正黑体_GBK"/>
          <w:color w:val="333333"/>
          <w:kern w:val="0"/>
          <w:sz w:val="32"/>
          <w:szCs w:val="32"/>
          <w:lang w:val="en-US" w:eastAsia="zh-CN" w:bidi="ar"/>
        </w:rPr>
      </w:pPr>
      <w:r>
        <w:rPr>
          <w:rFonts w:hint="default" w:ascii="方正黑体_GBK" w:hAnsi="方正黑体_GBK" w:eastAsia="方正黑体_GBK" w:cs="方正黑体_GBK"/>
          <w:color w:val="333333"/>
          <w:kern w:val="0"/>
          <w:sz w:val="32"/>
          <w:szCs w:val="32"/>
          <w:lang w:val="en-US" w:eastAsia="zh-CN" w:bidi="ar"/>
        </w:rPr>
        <w:t>二、承诺</w:t>
      </w:r>
    </w:p>
    <w:p w14:paraId="26C7E302">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我公司本着公平公正原则，参与此次报价，能按期、按质、按量完成本次询价服务内容。</w:t>
      </w:r>
    </w:p>
    <w:p w14:paraId="0DD2EC0A">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此函。</w:t>
      </w:r>
    </w:p>
    <w:p w14:paraId="0C1F7126">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p>
    <w:p w14:paraId="78290E01">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联系人：                  </w:t>
      </w:r>
      <w:r>
        <w:rPr>
          <w:rFonts w:hint="eastAsia" w:ascii="Times New Roman" w:hAnsi="Times New Roman" w:eastAsia="方正仿宋_GBK" w:cs="Times New Roman"/>
          <w:color w:val="333333"/>
          <w:kern w:val="0"/>
          <w:sz w:val="32"/>
          <w:szCs w:val="32"/>
          <w:lang w:val="en-US" w:eastAsia="zh-CN" w:bidi="ar"/>
        </w:rPr>
        <w:t xml:space="preserve"> </w:t>
      </w:r>
      <w:r>
        <w:rPr>
          <w:rFonts w:hint="default" w:ascii="Times New Roman" w:hAnsi="Times New Roman" w:eastAsia="方正仿宋_GBK" w:cs="Times New Roman"/>
          <w:color w:val="333333"/>
          <w:kern w:val="0"/>
          <w:sz w:val="32"/>
          <w:szCs w:val="32"/>
          <w:lang w:val="en-US" w:eastAsia="zh-CN" w:bidi="ar"/>
        </w:rPr>
        <w:t>手机号码：</w:t>
      </w:r>
    </w:p>
    <w:p w14:paraId="4B50A609">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 xml:space="preserve">电 </w:t>
      </w:r>
      <w:r>
        <w:rPr>
          <w:rFonts w:hint="eastAsia" w:ascii="Times New Roman" w:hAnsi="Times New Roman" w:eastAsia="方正仿宋_GBK" w:cs="Times New Roman"/>
          <w:color w:val="333333"/>
          <w:kern w:val="0"/>
          <w:sz w:val="32"/>
          <w:szCs w:val="32"/>
          <w:lang w:val="en-US" w:eastAsia="zh-CN" w:bidi="ar"/>
        </w:rPr>
        <w:t xml:space="preserve"> </w:t>
      </w:r>
      <w:r>
        <w:rPr>
          <w:rFonts w:hint="default" w:ascii="Times New Roman" w:hAnsi="Times New Roman" w:eastAsia="方正仿宋_GBK" w:cs="Times New Roman"/>
          <w:color w:val="333333"/>
          <w:kern w:val="0"/>
          <w:sz w:val="32"/>
          <w:szCs w:val="32"/>
          <w:lang w:val="en-US" w:eastAsia="zh-CN" w:bidi="ar"/>
        </w:rPr>
        <w:t xml:space="preserve">话：                   传 </w:t>
      </w:r>
      <w:r>
        <w:rPr>
          <w:rFonts w:hint="eastAsia" w:ascii="Times New Roman" w:hAnsi="Times New Roman" w:eastAsia="方正仿宋_GBK" w:cs="Times New Roman"/>
          <w:color w:val="333333"/>
          <w:kern w:val="0"/>
          <w:sz w:val="32"/>
          <w:szCs w:val="32"/>
          <w:lang w:val="en-US" w:eastAsia="zh-CN" w:bidi="ar"/>
        </w:rPr>
        <w:t xml:space="preserve">   </w:t>
      </w:r>
      <w:r>
        <w:rPr>
          <w:rFonts w:hint="default" w:ascii="Times New Roman" w:hAnsi="Times New Roman" w:eastAsia="方正仿宋_GBK" w:cs="Times New Roman"/>
          <w:color w:val="333333"/>
          <w:kern w:val="0"/>
          <w:sz w:val="32"/>
          <w:szCs w:val="32"/>
          <w:lang w:val="en-US" w:eastAsia="zh-CN" w:bidi="ar"/>
        </w:rPr>
        <w:t>真：</w:t>
      </w:r>
    </w:p>
    <w:p w14:paraId="6EAA7E88">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地</w:t>
      </w:r>
      <w:r>
        <w:rPr>
          <w:rFonts w:hint="eastAsia" w:ascii="Times New Roman" w:hAnsi="Times New Roman" w:eastAsia="方正仿宋_GBK" w:cs="Times New Roman"/>
          <w:color w:val="333333"/>
          <w:kern w:val="0"/>
          <w:sz w:val="32"/>
          <w:szCs w:val="32"/>
          <w:lang w:val="en-US" w:eastAsia="zh-CN" w:bidi="ar"/>
        </w:rPr>
        <w:t xml:space="preserve">  </w:t>
      </w:r>
      <w:r>
        <w:rPr>
          <w:rFonts w:hint="default" w:ascii="Times New Roman" w:hAnsi="Times New Roman" w:eastAsia="方正仿宋_GBK" w:cs="Times New Roman"/>
          <w:color w:val="333333"/>
          <w:kern w:val="0"/>
          <w:sz w:val="32"/>
          <w:szCs w:val="32"/>
          <w:lang w:val="en-US" w:eastAsia="zh-CN" w:bidi="ar"/>
        </w:rPr>
        <w:t>址：              </w:t>
      </w:r>
    </w:p>
    <w:p w14:paraId="6A4E4694">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 xml:space="preserve">                  </w:t>
      </w:r>
    </w:p>
    <w:p w14:paraId="0F670B79">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3840" w:firstLineChars="1200"/>
        <w:jc w:val="both"/>
        <w:textAlignment w:val="auto"/>
        <w:rPr>
          <w:rFonts w:hint="default" w:ascii="Times New Roman" w:hAnsi="Times New Roman" w:eastAsia="方正仿宋_GBK" w:cs="Times New Roman"/>
          <w:color w:val="333333"/>
          <w:kern w:val="0"/>
          <w:sz w:val="32"/>
          <w:szCs w:val="32"/>
          <w:lang w:val="en-US" w:eastAsia="zh-CN" w:bidi="ar"/>
        </w:rPr>
      </w:pPr>
      <w:r>
        <w:rPr>
          <w:rFonts w:hint="default" w:ascii="Times New Roman" w:hAnsi="Times New Roman" w:eastAsia="方正仿宋_GBK" w:cs="Times New Roman"/>
          <w:color w:val="333333"/>
          <w:kern w:val="0"/>
          <w:sz w:val="32"/>
          <w:szCs w:val="32"/>
          <w:lang w:val="en-US" w:eastAsia="zh-CN" w:bidi="ar"/>
        </w:rPr>
        <w:t xml:space="preserve">  公司名称（公章）：    </w:t>
      </w:r>
    </w:p>
    <w:p w14:paraId="7CADEC78">
      <w:pPr>
        <w:keepNext w:val="0"/>
        <w:keepLines w:val="0"/>
        <w:pageBreakBefore w:val="0"/>
        <w:widowControl/>
        <w:kinsoku/>
        <w:wordWrap/>
        <w:overflowPunct/>
        <w:topLinePunct w:val="0"/>
        <w:autoSpaceDE/>
        <w:autoSpaceDN/>
        <w:bidi w:val="0"/>
        <w:adjustRightInd w:val="0"/>
        <w:snapToGrid w:val="0"/>
        <w:spacing w:before="0" w:beforeAutospacing="0" w:after="0" w:afterAutospacing="0" w:line="500" w:lineRule="exact"/>
        <w:ind w:left="0" w:leftChars="0" w:right="0" w:rightChars="0" w:firstLine="640" w:firstLineChars="200"/>
        <w:jc w:val="both"/>
        <w:textAlignment w:val="auto"/>
      </w:pPr>
      <w:r>
        <w:rPr>
          <w:rFonts w:hint="default" w:ascii="Times New Roman" w:hAnsi="Times New Roman" w:eastAsia="方正仿宋_GBK" w:cs="Times New Roman"/>
          <w:color w:val="333333"/>
          <w:kern w:val="0"/>
          <w:sz w:val="32"/>
          <w:szCs w:val="32"/>
          <w:lang w:val="en-US" w:eastAsia="zh-CN" w:bidi="ar"/>
        </w:rPr>
        <w:t>                                 2025年   月    日</w:t>
      </w:r>
      <w:bookmarkStart w:id="0" w:name="_GoBack"/>
      <w:bookmarkEnd w:id="0"/>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211AD4"/>
    <w:rsid w:val="508D36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2025-04-29T12:58:15Z</dcterms:created>
  <dc:creator>DELL</dc:creator>
  <cp:lastModifiedBy>南城旧景</cp:lastModifiedBy>
  <dcterms:modified xsi:type="dcterms:W3CDTF">2025-04-29T13:02:21Z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eyJoZGlkIjoiOTQxNGQ1ODg3N2UxODM2MTk3ZWUxMTYyMTY0OGVmMzkiLCJ1c2VySWQiOiI3MDI3MTkyODQifQ==</vt:lpwstr>
  </property>
  <property fmtid="{D5CDD505-2E9C-101B-9397-08002B2CF9AE}" pid="4" name="ICV">
    <vt:lpwstr>278B0FE4A0844FCBA5F21B3C57E011B4_12</vt:lpwstr>
  </property>
</Properties>
</file>