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B8D7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黑体" w:cs="Times New Roman"/>
          <w:color w:val="000000"/>
          <w:kern w:val="0"/>
          <w:sz w:val="24"/>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5E6F7F4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35031F4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71BD725C">
      <w:pPr>
        <w:pStyle w:val="2"/>
        <w:numPr>
          <w:ilvl w:val="0"/>
          <w:numId w:val="0"/>
        </w:numPr>
        <w:adjustRightInd w:val="0"/>
        <w:snapToGrid w:val="0"/>
        <w:spacing w:before="93" w:line="60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内设光雾山、关坝、贵民、神门</w:t>
      </w:r>
      <w:r>
        <w:rPr>
          <w:rFonts w:hint="eastAsia" w:hAnsi="仿宋_GB2312" w:cs="仿宋_GB2312"/>
          <w:color w:val="auto"/>
          <w:sz w:val="32"/>
          <w:szCs w:val="32"/>
          <w:highlight w:val="none"/>
          <w:lang w:eastAsia="zh-CN"/>
        </w:rPr>
        <w:t>、</w:t>
      </w:r>
      <w:r>
        <w:rPr>
          <w:rFonts w:hint="eastAsia" w:hAnsi="仿宋_GB2312" w:cs="仿宋_GB2312"/>
          <w:color w:val="auto"/>
          <w:sz w:val="32"/>
          <w:szCs w:val="32"/>
          <w:highlight w:val="none"/>
          <w:lang w:val="en-US" w:eastAsia="zh-CN"/>
        </w:rPr>
        <w:t>诺水河、空山、两河口</w:t>
      </w:r>
      <w:r>
        <w:rPr>
          <w:rFonts w:hint="eastAsia" w:ascii="仿宋_GB2312" w:hAnsi="仿宋_GB2312" w:eastAsia="仿宋_GB2312" w:cs="仿宋_GB2312"/>
          <w:color w:val="auto"/>
          <w:sz w:val="32"/>
          <w:szCs w:val="32"/>
          <w:highlight w:val="none"/>
          <w:lang w:eastAsia="zh-CN"/>
        </w:rPr>
        <w:t>中队，负责光雾山镇、关坝镇、贵民镇、神门乡</w:t>
      </w:r>
      <w:r>
        <w:rPr>
          <w:rFonts w:hint="eastAsia" w:hAnsi="仿宋_GB2312" w:cs="仿宋_GB2312"/>
          <w:color w:val="auto"/>
          <w:sz w:val="32"/>
          <w:szCs w:val="32"/>
          <w:highlight w:val="none"/>
          <w:lang w:eastAsia="zh-CN"/>
        </w:rPr>
        <w:t>、</w:t>
      </w:r>
      <w:r>
        <w:rPr>
          <w:rFonts w:hint="eastAsia" w:hAnsi="仿宋_GB2312" w:cs="仿宋_GB2312"/>
          <w:color w:val="auto"/>
          <w:sz w:val="32"/>
          <w:szCs w:val="32"/>
          <w:highlight w:val="none"/>
          <w:lang w:val="en-US" w:eastAsia="zh-CN"/>
        </w:rPr>
        <w:t>诺水河镇、空山镇、两河口镇</w:t>
      </w:r>
      <w:r>
        <w:rPr>
          <w:rFonts w:hint="eastAsia" w:ascii="仿宋_GB2312" w:hAnsi="仿宋_GB2312" w:eastAsia="仿宋_GB2312" w:cs="仿宋_GB2312"/>
          <w:color w:val="auto"/>
          <w:sz w:val="32"/>
          <w:szCs w:val="32"/>
          <w:highlight w:val="none"/>
          <w:lang w:eastAsia="zh-CN"/>
        </w:rPr>
        <w:t>等综合行政执法工作。预算单位</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个，其中行政单位0个，参照公务员法管理的事业单位</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个，其他事业单位0个。</w:t>
      </w:r>
      <w:r>
        <w:rPr>
          <w:rFonts w:hint="eastAsia" w:ascii="仿宋_GB2312" w:hAnsi="仿宋_GB2312" w:eastAsia="仿宋_GB2312" w:cs="仿宋_GB2312"/>
          <w:color w:val="auto"/>
          <w:sz w:val="32"/>
          <w:szCs w:val="32"/>
          <w:highlight w:val="none"/>
          <w:lang w:val="en-US" w:eastAsia="zh-CN"/>
        </w:rPr>
        <w:t>主要包括：巴中市城市管理综合行政执法支队光雾山片区综合行政执法大队、巴中市城市管理综合行政执法支队诺水河大队</w:t>
      </w:r>
    </w:p>
    <w:p w14:paraId="29A369B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6A16E79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以两县综合行政执法局名义实行统一执法，分别负责光雾山镇、关坝镇、贵民镇、神门乡、</w:t>
      </w:r>
      <w:r>
        <w:rPr>
          <w:rFonts w:hint="eastAsia" w:ascii="仿宋_GB2312" w:hAnsi="仿宋_GB2312" w:eastAsia="仿宋_GB2312" w:cs="仿宋_GB2312"/>
          <w:color w:val="auto"/>
          <w:sz w:val="32"/>
          <w:szCs w:val="32"/>
          <w:highlight w:val="none"/>
          <w:lang w:val="en-US" w:eastAsia="zh-CN"/>
        </w:rPr>
        <w:t>诺水河镇、空山镇、两河口镇</w:t>
      </w:r>
      <w:r>
        <w:rPr>
          <w:rFonts w:hint="eastAsia" w:ascii="仿宋_GB2312" w:hAnsi="仿宋_GB2312" w:eastAsia="仿宋_GB2312" w:cs="仿宋_GB2312"/>
          <w:color w:val="auto"/>
          <w:sz w:val="32"/>
          <w:szCs w:val="32"/>
          <w:highlight w:val="none"/>
          <w:lang w:eastAsia="zh-CN"/>
        </w:rPr>
        <w:t>等执法工作。</w:t>
      </w:r>
    </w:p>
    <w:p w14:paraId="10F6207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bookmarkStart w:id="1" w:name="_GoBack"/>
      <w:bookmarkEnd w:id="1"/>
    </w:p>
    <w:p w14:paraId="35849A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Cs w:val="32"/>
        </w:rPr>
      </w:pP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年末，巴中市光雾山诺水河文旅融合发展示范区综合行政执法局2025年末实有人员</w:t>
      </w:r>
      <w:r>
        <w:rPr>
          <w:rFonts w:hint="eastAsia" w:eastAsia="仿宋_GB2312" w:cs="Times New Roman"/>
          <w:sz w:val="32"/>
          <w:szCs w:val="32"/>
          <w:lang w:val="en-US" w:eastAsia="zh-CN"/>
        </w:rPr>
        <w:t>21</w:t>
      </w:r>
      <w:r>
        <w:rPr>
          <w:rFonts w:hint="default" w:ascii="Times New Roman" w:hAnsi="Times New Roman" w:eastAsia="仿宋_GB2312" w:cs="Times New Roman"/>
          <w:sz w:val="32"/>
          <w:szCs w:val="32"/>
          <w:lang w:val="en-US" w:eastAsia="zh-CN"/>
        </w:rPr>
        <w:t>人，其中：</w:t>
      </w:r>
      <w:r>
        <w:rPr>
          <w:rFonts w:hint="eastAsia" w:eastAsia="仿宋_GB2312" w:cs="Times New Roman"/>
          <w:sz w:val="32"/>
          <w:szCs w:val="32"/>
          <w:lang w:val="en-US" w:eastAsia="zh-CN"/>
        </w:rPr>
        <w:t>公务员2</w:t>
      </w:r>
      <w:r>
        <w:rPr>
          <w:rFonts w:hint="default" w:ascii="Times New Roman" w:hAnsi="Times New Roman" w:eastAsia="仿宋_GB2312" w:cs="Times New Roman"/>
          <w:sz w:val="32"/>
          <w:szCs w:val="32"/>
          <w:lang w:val="en-US" w:eastAsia="zh-CN"/>
        </w:rPr>
        <w:t>人，参照公务员法管理人员</w:t>
      </w:r>
      <w:r>
        <w:rPr>
          <w:rFonts w:hint="eastAsia"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人，机关和事业工人2人</w:t>
      </w:r>
      <w:r>
        <w:rPr>
          <w:rFonts w:hint="eastAsia" w:eastAsia="仿宋_GB2312" w:cs="Times New Roman"/>
          <w:sz w:val="32"/>
          <w:szCs w:val="32"/>
          <w:lang w:val="en-US" w:eastAsia="zh-CN"/>
        </w:rPr>
        <w:t>，其他人员9人</w:t>
      </w:r>
      <w:r>
        <w:rPr>
          <w:rFonts w:hint="default" w:ascii="Times New Roman" w:hAnsi="Times New Roman" w:eastAsia="仿宋_GB2312" w:cs="Times New Roman"/>
          <w:sz w:val="32"/>
          <w:szCs w:val="32"/>
          <w:lang w:val="en-US" w:eastAsia="zh-CN"/>
        </w:rPr>
        <w:t>。</w:t>
      </w:r>
    </w:p>
    <w:p w14:paraId="1F0AC5D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2F48F2A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6B39CAE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sz w:val="32"/>
          <w:szCs w:val="32"/>
          <w:lang w:val="en-US" w:eastAsia="zh-CN"/>
        </w:rPr>
        <w:t>巴中市光雾山诺水河文旅融合发展示范区综合行政执法局</w:t>
      </w:r>
      <w:r>
        <w:rPr>
          <w:rFonts w:hint="eastAsia" w:ascii="Times New Roman" w:hAnsi="Times New Roman" w:eastAsia="仿宋_GB2312" w:cs="仿宋_GB2312"/>
          <w:color w:val="auto"/>
          <w:kern w:val="2"/>
          <w:sz w:val="32"/>
          <w:szCs w:val="32"/>
          <w:highlight w:val="none"/>
          <w:lang w:val="en-US" w:eastAsia="zh-CN" w:bidi="ar-SA"/>
        </w:rPr>
        <w:t>2025年部门年初预算总收入453.04万元，其中一般公共预算财政拨款年初预算数收入448.32万元，上年结转结余4.72万元，比2024年收支预算总数</w:t>
      </w:r>
      <w:r>
        <w:rPr>
          <w:rFonts w:hint="eastAsia" w:eastAsia="仿宋_GB2312" w:cs="仿宋_GB2312"/>
          <w:color w:val="auto"/>
          <w:kern w:val="2"/>
          <w:sz w:val="32"/>
          <w:szCs w:val="32"/>
          <w:highlight w:val="none"/>
          <w:lang w:val="en-US" w:eastAsia="zh-CN" w:bidi="ar-SA"/>
        </w:rPr>
        <w:t>增加45.27</w:t>
      </w:r>
      <w:r>
        <w:rPr>
          <w:rFonts w:hint="eastAsia" w:ascii="Times New Roman" w:hAnsi="Times New Roman" w:eastAsia="仿宋_GB2312" w:cs="仿宋_GB2312"/>
          <w:color w:val="auto"/>
          <w:kern w:val="2"/>
          <w:sz w:val="32"/>
          <w:szCs w:val="32"/>
          <w:highlight w:val="none"/>
          <w:lang w:val="en-US" w:eastAsia="zh-CN" w:bidi="ar-SA"/>
        </w:rPr>
        <w:t>万元，主要原因是巴中市城市管理综合行政执法支队光雾山片区综合行政执法大队2025年度新考录一名公务员，示范区综合执法局4名职工所有经费增加至</w:t>
      </w:r>
      <w:r>
        <w:rPr>
          <w:rFonts w:hint="eastAsia" w:eastAsia="仿宋_GB2312" w:cs="仿宋_GB2312"/>
          <w:color w:val="auto"/>
          <w:kern w:val="2"/>
          <w:sz w:val="32"/>
          <w:szCs w:val="32"/>
          <w:highlight w:val="none"/>
          <w:lang w:val="en-US" w:eastAsia="zh-CN" w:bidi="ar-SA"/>
        </w:rPr>
        <w:t>该</w:t>
      </w:r>
      <w:r>
        <w:rPr>
          <w:rFonts w:hint="eastAsia" w:ascii="Times New Roman" w:hAnsi="Times New Roman" w:eastAsia="仿宋_GB2312" w:cs="仿宋_GB2312"/>
          <w:color w:val="auto"/>
          <w:kern w:val="2"/>
          <w:sz w:val="32"/>
          <w:szCs w:val="32"/>
          <w:highlight w:val="none"/>
          <w:lang w:val="en-US" w:eastAsia="zh-CN" w:bidi="ar-SA"/>
        </w:rPr>
        <w:t>单位。</w:t>
      </w:r>
      <w:r>
        <w:rPr>
          <w:rFonts w:hint="eastAsia" w:eastAsia="仿宋_GB2312" w:cs="仿宋_GB2312"/>
          <w:color w:val="auto"/>
          <w:kern w:val="2"/>
          <w:sz w:val="32"/>
          <w:szCs w:val="32"/>
          <w:highlight w:val="none"/>
          <w:lang w:val="en-US" w:eastAsia="zh-CN" w:bidi="ar-SA"/>
        </w:rPr>
        <w:t>决算报表中本年收入479.42万元，其中一般公共预算财政拨款471.18万元，占总收入98.28%，政府性基金预算财政拨款8.24万元，占总收入1.72%。</w:t>
      </w:r>
    </w:p>
    <w:p w14:paraId="67C47FC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仿宋_GB2312"/>
          <w:color w:val="auto"/>
          <w:kern w:val="2"/>
          <w:sz w:val="32"/>
          <w:szCs w:val="32"/>
          <w:highlight w:val="none"/>
          <w:lang w:val="en-US" w:eastAsia="zh-CN" w:bidi="ar-SA"/>
        </w:rPr>
        <w:t>巴中市光雾山诺水河文旅融合发展示范区综合行政执法局</w:t>
      </w:r>
      <w:r>
        <w:rPr>
          <w:rFonts w:hint="eastAsia" w:ascii="Times New Roman" w:hAnsi="Times New Roman" w:eastAsia="仿宋_GB2312" w:cs="仿宋_GB2312"/>
          <w:color w:val="auto"/>
          <w:kern w:val="2"/>
          <w:sz w:val="32"/>
          <w:szCs w:val="32"/>
          <w:highlight w:val="none"/>
          <w:lang w:val="en-US" w:eastAsia="zh-CN" w:bidi="ar-SA"/>
        </w:rPr>
        <w:t>2025年年初预算支出453.0</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，其中社会保障和就业支出17.27万元、卫生健康支出10.36万元、城乡社区支出411.33万元、住房保障支出14.09万元。</w:t>
      </w:r>
      <w:r>
        <w:rPr>
          <w:rFonts w:hint="eastAsia" w:ascii="Times New Roman" w:hAnsi="Times New Roman" w:eastAsia="仿宋_GB2312" w:cs="仿宋_GB2312"/>
          <w:color w:val="auto"/>
          <w:kern w:val="2"/>
          <w:sz w:val="32"/>
          <w:szCs w:val="32"/>
          <w:highlight w:val="none"/>
          <w:lang w:val="en-US" w:eastAsia="zh-CN" w:bidi="ar-SA"/>
        </w:rPr>
        <w:t>决算报表支出479.4</w:t>
      </w:r>
      <w:r>
        <w:rPr>
          <w:rFonts w:hint="eastAsia" w:eastAsia="仿宋_GB2312" w:cs="仿宋_GB2312"/>
          <w:color w:val="auto"/>
          <w:kern w:val="2"/>
          <w:sz w:val="32"/>
          <w:szCs w:val="32"/>
          <w:highlight w:val="none"/>
          <w:lang w:val="en-US" w:eastAsia="zh-CN" w:bidi="ar-SA"/>
        </w:rPr>
        <w:t>2万元，其中：社会保障和就业支出17.45万元、卫生健康支出11.17万元、城乡社区支出397.08万元、住房保障支出13.73万元</w:t>
      </w:r>
      <w:r>
        <w:rPr>
          <w:rFonts w:hint="eastAsia" w:ascii="Times New Roman" w:hAnsi="Times New Roman" w:eastAsia="仿宋_GB2312" w:cs="仿宋_GB2312"/>
          <w:color w:val="auto"/>
          <w:kern w:val="2"/>
          <w:sz w:val="32"/>
          <w:szCs w:val="32"/>
          <w:highlight w:val="none"/>
          <w:lang w:val="en-US" w:eastAsia="zh-CN" w:bidi="ar-SA"/>
        </w:rPr>
        <w:t>。</w:t>
      </w:r>
    </w:p>
    <w:p w14:paraId="69A73DA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44621DA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仿宋_GB2312" w:cs="仿宋_GB2312"/>
          <w:color w:val="auto"/>
          <w:kern w:val="2"/>
          <w:sz w:val="32"/>
          <w:szCs w:val="32"/>
          <w:highlight w:val="none"/>
          <w:lang w:val="en-US" w:eastAsia="zh-CN" w:bidi="ar-SA"/>
        </w:rPr>
        <w:t>巴中市光雾山诺水河文旅融合发展示范区综合行政执法局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年决算报表无结余分配和结转结余。</w:t>
      </w:r>
    </w:p>
    <w:p w14:paraId="3ED06BF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54DB237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4F4CB91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履职效能（指标分值1</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zh-CN" w:eastAsia="zh-CN" w:bidi="ar-SA"/>
        </w:rPr>
        <w:t>分，得分1</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zh-CN" w:eastAsia="zh-CN" w:bidi="ar-SA"/>
        </w:rPr>
        <w:t>分）。</w:t>
      </w:r>
    </w:p>
    <w:p w14:paraId="08DACF6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（1）项目管理规范性：目标任务为保障部门项目管理符合法律法规、政策要求和内部制度。完成值为：制度执行合规率100%，该项指标得分为8分。</w:t>
      </w:r>
    </w:p>
    <w:p w14:paraId="69BD3F5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（2）资源调配效率：目标任务</w:t>
      </w:r>
      <w:r>
        <w:rPr>
          <w:rFonts w:hint="eastAsia" w:eastAsia="仿宋_GB2312" w:cs="仿宋_GB2312"/>
          <w:color w:val="auto"/>
          <w:kern w:val="2"/>
          <w:sz w:val="32"/>
          <w:szCs w:val="32"/>
          <w:highlight w:val="none"/>
          <w:lang w:val="zh-CN" w:eastAsia="zh-CN" w:bidi="ar-SA"/>
        </w:rPr>
        <w:t>是</w:t>
      </w:r>
      <w:r>
        <w:rPr>
          <w:rFonts w:hint="eastAsia" w:ascii="Times New Roman" w:hAnsi="Times New Roman" w:eastAsia="仿宋_GB2312" w:cs="仿宋_GB2312"/>
          <w:color w:val="auto"/>
          <w:kern w:val="2"/>
          <w:sz w:val="32"/>
          <w:szCs w:val="32"/>
          <w:highlight w:val="none"/>
          <w:lang w:val="zh-CN" w:eastAsia="zh-CN" w:bidi="ar-SA"/>
        </w:rPr>
        <w:t>提升部门人力、资金、物资等资源配置的及时性和合理性。完成值为：资金到位及时率100%，关键岗位人员到岗情况较好。该项指标得分为6分。</w:t>
      </w:r>
    </w:p>
    <w:p w14:paraId="5EBEE4A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（3）制度执行效果：目标任务为检查内部管理制度的实际落地效果。完成值为：制度覆盖率100%，</w:t>
      </w:r>
      <w:r>
        <w:rPr>
          <w:rFonts w:hint="eastAsia" w:eastAsia="仿宋_GB2312" w:cs="仿宋_GB2312"/>
          <w:color w:val="auto"/>
          <w:kern w:val="2"/>
          <w:sz w:val="32"/>
          <w:szCs w:val="32"/>
          <w:highlight w:val="none"/>
          <w:lang w:val="zh-CN" w:eastAsia="zh-CN" w:bidi="ar-SA"/>
        </w:rPr>
        <w:t>本</w:t>
      </w:r>
      <w:r>
        <w:rPr>
          <w:rFonts w:hint="eastAsia" w:ascii="Times New Roman" w:hAnsi="Times New Roman" w:eastAsia="仿宋_GB2312" w:cs="仿宋_GB2312"/>
          <w:color w:val="auto"/>
          <w:kern w:val="2"/>
          <w:sz w:val="32"/>
          <w:szCs w:val="32"/>
          <w:highlight w:val="none"/>
          <w:lang w:val="zh-CN" w:eastAsia="zh-CN" w:bidi="ar-SA"/>
        </w:rPr>
        <w:t>单位考核结果良好。该项指标得分为5分。</w:t>
      </w:r>
    </w:p>
    <w:p w14:paraId="731EC5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预算管理（指标分值</w:t>
      </w: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1分，得分1</w:t>
      </w:r>
      <w:r>
        <w:rPr>
          <w:rFonts w:hint="eastAsia" w:ascii="Times New Roman" w:hAnsi="Times New Roman" w:eastAsia="仿宋_GB2312" w:cs="仿宋_GB2312"/>
          <w:color w:val="auto"/>
          <w:kern w:val="2"/>
          <w:sz w:val="32"/>
          <w:szCs w:val="32"/>
          <w:highlight w:val="none"/>
          <w:lang w:val="en-US" w:eastAsia="zh-CN" w:bidi="ar-SA"/>
        </w:rPr>
        <w:t>9.5</w:t>
      </w:r>
      <w:r>
        <w:rPr>
          <w:rFonts w:hint="default" w:ascii="Times New Roman" w:hAnsi="Times New Roman" w:eastAsia="仿宋_GB2312" w:cs="仿宋_GB2312"/>
          <w:color w:val="auto"/>
          <w:kern w:val="2"/>
          <w:sz w:val="32"/>
          <w:szCs w:val="32"/>
          <w:highlight w:val="none"/>
          <w:lang w:val="zh-CN" w:eastAsia="zh-CN" w:bidi="ar-SA"/>
        </w:rPr>
        <w:t>分）</w:t>
      </w:r>
      <w:r>
        <w:rPr>
          <w:rFonts w:hint="eastAsia" w:ascii="Times New Roman" w:hAnsi="Times New Roman" w:eastAsia="仿宋_GB2312" w:cs="仿宋_GB2312"/>
          <w:color w:val="auto"/>
          <w:kern w:val="2"/>
          <w:sz w:val="32"/>
          <w:szCs w:val="32"/>
          <w:highlight w:val="none"/>
          <w:lang w:val="zh-CN" w:eastAsia="zh-CN" w:bidi="ar-SA"/>
        </w:rPr>
        <w:t>。</w:t>
      </w:r>
    </w:p>
    <w:p w14:paraId="20B59B9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（1）预算编制质量。</w:t>
      </w:r>
    </w:p>
    <w:p w14:paraId="2F12120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本部门严格按要求编制年初部门预算，年初预算编制具有科学性和准确性。偏离度=(479.42-453.04)/453.04)=0.06</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该项指标得分=(1-0.06)*100%*8=7.53，该项指标得分为</w:t>
      </w: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zh-CN" w:eastAsia="zh-CN" w:bidi="ar-SA"/>
        </w:rPr>
        <w:t>分。</w:t>
      </w:r>
    </w:p>
    <w:p w14:paraId="6E4ADFB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（2）支出执行进度。</w:t>
      </w:r>
    </w:p>
    <w:p w14:paraId="4F5F021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本部门严格按照支付计划进行支付</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执行规范有序，支付进度符合要求。6月部门预算执行进度=165.21/479.42=0.3446；9月部门预算执行进度=278.94/479.42=0.581828；11月部门预算执行进度=362.97/479.42=0.757102</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该项指标得分=(165.21/(534.77*50%)*2)+0.3446/40%*2+0.581828/67.5%*2+0.75102/82.5%*2=6.5</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该项指标得分为6.</w:t>
      </w: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分。</w:t>
      </w:r>
    </w:p>
    <w:p w14:paraId="411F7CD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（3）预算年终结余。</w:t>
      </w:r>
    </w:p>
    <w:p w14:paraId="4E181BF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本部门支付全部完成，该项指标得分为4分。</w:t>
      </w:r>
    </w:p>
    <w:p w14:paraId="2DDA084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（4）严控一般性支出。</w:t>
      </w:r>
    </w:p>
    <w:p w14:paraId="1A9F5EE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2025年本部门严格控制“三公”经费、会议、培训、差旅、办公设备购置、信息网络及软件购置更新支出，年度一般性支出财政拨款年初预算较上年压减。该项指标得分为5分。</w:t>
      </w:r>
    </w:p>
    <w:p w14:paraId="637F6E9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财务管理（指标分值1</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分，得分1</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分）</w:t>
      </w:r>
      <w:r>
        <w:rPr>
          <w:rFonts w:hint="eastAsia" w:ascii="Times New Roman" w:hAnsi="Times New Roman" w:eastAsia="仿宋_GB2312" w:cs="仿宋_GB2312"/>
          <w:color w:val="auto"/>
          <w:kern w:val="2"/>
          <w:sz w:val="32"/>
          <w:szCs w:val="32"/>
          <w:highlight w:val="none"/>
          <w:lang w:val="zh-CN" w:eastAsia="zh-CN" w:bidi="ar-SA"/>
        </w:rPr>
        <w:t>。</w:t>
      </w:r>
    </w:p>
    <w:p w14:paraId="6F20FF7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（1）财务管理制度设置。</w:t>
      </w:r>
    </w:p>
    <w:p w14:paraId="7733A1B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2025年本部门按照《行政事业单位内部控制规范（试行）》（财会〔2012〕21号）、《</w:t>
      </w:r>
      <w:r>
        <w:rPr>
          <w:rFonts w:hint="eastAsia" w:eastAsia="仿宋_GB2312" w:cs="仿宋_GB2312"/>
          <w:color w:val="auto"/>
          <w:kern w:val="2"/>
          <w:sz w:val="32"/>
          <w:szCs w:val="32"/>
          <w:highlight w:val="none"/>
          <w:lang w:val="zh-CN" w:eastAsia="zh-CN" w:bidi="ar-SA"/>
        </w:rPr>
        <w:t>四川省财政厅</w:t>
      </w:r>
      <w:r>
        <w:rPr>
          <w:rFonts w:hint="eastAsia" w:ascii="Times New Roman" w:hAnsi="Times New Roman" w:eastAsia="仿宋_GB2312" w:cs="仿宋_GB2312"/>
          <w:color w:val="auto"/>
          <w:kern w:val="2"/>
          <w:sz w:val="32"/>
          <w:szCs w:val="32"/>
          <w:highlight w:val="none"/>
          <w:lang w:val="zh-CN" w:eastAsia="zh-CN" w:bidi="ar-SA"/>
        </w:rPr>
        <w:t>关于印发〈四川省省级行政事业单位内部控制建设指引〉的通知》（川财会〔2019〕37号）的要求编制了《财务会计内部控制制度》，以及《收支业务内控管理制度》《预算业务管理制度》《资产业务管理制度》《合同业务内控管理制度》等六大经济业务内控制度。对经费审批和费用报销管理等内容进行了明确，财务管理制度基本健全。</w:t>
      </w:r>
    </w:p>
    <w:p w14:paraId="00AD733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从历年行政事业单位内部控制报告及绩效评价结果来看，相关财务管理制度要素完整、内容规范、权责明晰、流程明确、执行有效。该项指标得分为4分。</w:t>
      </w:r>
    </w:p>
    <w:p w14:paraId="5AE2509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lang w:val="zh-CN" w:eastAsia="zh-CN" w:bidi="ar-SA"/>
        </w:rPr>
        <w:t>（2）</w:t>
      </w:r>
      <w:r>
        <w:rPr>
          <w:rFonts w:hint="eastAsia" w:ascii="Times New Roman" w:hAnsi="Times New Roman" w:eastAsia="仿宋_GB2312" w:cs="仿宋_GB2312"/>
          <w:color w:val="auto"/>
          <w:kern w:val="2"/>
          <w:sz w:val="32"/>
          <w:szCs w:val="32"/>
          <w:highlight w:val="none"/>
          <w:lang w:val="zh-CN" w:eastAsia="zh-CN" w:bidi="ar-SA"/>
        </w:rPr>
        <w:t>财务岗位设置。</w:t>
      </w:r>
    </w:p>
    <w:p w14:paraId="7776C03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2025年本部门按照不相容岗位相分离的原则，对收款与会计核算、支出申请与审批、支出审批与付款、业务经办与会计核算等不相容岗位予以分离，并明确了相关职责权限。该项指标得分为2分。</w:t>
      </w:r>
    </w:p>
    <w:p w14:paraId="1D00FEE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lang w:val="zh-CN" w:eastAsia="zh-CN" w:bidi="ar-SA"/>
        </w:rPr>
        <w:t>（3）</w:t>
      </w:r>
      <w:r>
        <w:rPr>
          <w:rFonts w:hint="eastAsia" w:ascii="Times New Roman" w:hAnsi="Times New Roman" w:eastAsia="仿宋_GB2312" w:cs="仿宋_GB2312"/>
          <w:color w:val="auto"/>
          <w:kern w:val="2"/>
          <w:sz w:val="32"/>
          <w:szCs w:val="32"/>
          <w:highlight w:val="none"/>
          <w:lang w:val="zh-CN" w:eastAsia="zh-CN" w:bidi="ar-SA"/>
        </w:rPr>
        <w:t>资金使用规范。</w:t>
      </w:r>
    </w:p>
    <w:p w14:paraId="239C142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本部门严格执行《政府会计制度》、国家财经法规及财务管理办法规定，所有支出由财务人员统一管理、核算，项目资金单独核算，资金使用遵循“先审批后支出”原则。经抽查项目经费、日常公用经费等支出会计凭证，资金支出原始报账资料完整、审批流程规范、附件齐全，资金使用基本合规。该项指标得分为4分。</w:t>
      </w:r>
    </w:p>
    <w:p w14:paraId="6A1B6CF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lang w:val="zh-CN"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资产管理（指标分值</w:t>
      </w:r>
      <w:r>
        <w:rPr>
          <w:rFonts w:hint="eastAsia" w:eastAsia="仿宋_GB2312" w:cs="仿宋_GB2312"/>
          <w:color w:val="auto"/>
          <w:kern w:val="2"/>
          <w:sz w:val="32"/>
          <w:szCs w:val="32"/>
          <w:highlight w:val="none"/>
          <w:lang w:val="en-US" w:eastAsia="zh-CN" w:bidi="ar-SA"/>
        </w:rPr>
        <w:t>9</w:t>
      </w:r>
      <w:r>
        <w:rPr>
          <w:rFonts w:hint="default" w:ascii="Times New Roman" w:hAnsi="Times New Roman" w:eastAsia="仿宋_GB2312" w:cs="仿宋_GB2312"/>
          <w:color w:val="auto"/>
          <w:kern w:val="2"/>
          <w:sz w:val="32"/>
          <w:szCs w:val="32"/>
          <w:highlight w:val="none"/>
          <w:lang w:val="zh-CN" w:eastAsia="zh-CN" w:bidi="ar-SA"/>
        </w:rPr>
        <w:t>分，得分</w:t>
      </w:r>
      <w:r>
        <w:rPr>
          <w:rFonts w:hint="eastAsia" w:eastAsia="仿宋_GB2312" w:cs="仿宋_GB2312"/>
          <w:color w:val="auto"/>
          <w:kern w:val="2"/>
          <w:sz w:val="32"/>
          <w:szCs w:val="32"/>
          <w:highlight w:val="none"/>
          <w:lang w:val="en-US" w:eastAsia="zh-CN" w:bidi="ar-SA"/>
        </w:rPr>
        <w:t>6.3</w:t>
      </w:r>
      <w:r>
        <w:rPr>
          <w:rFonts w:hint="default" w:ascii="Times New Roman" w:hAnsi="Times New Roman" w:eastAsia="仿宋_GB2312" w:cs="仿宋_GB2312"/>
          <w:color w:val="auto"/>
          <w:kern w:val="2"/>
          <w:sz w:val="32"/>
          <w:szCs w:val="32"/>
          <w:highlight w:val="none"/>
          <w:lang w:val="zh-CN" w:eastAsia="zh-CN" w:bidi="ar-SA"/>
        </w:rPr>
        <w:t>分）</w:t>
      </w:r>
      <w:r>
        <w:rPr>
          <w:rFonts w:hint="eastAsia" w:ascii="Times New Roman" w:hAnsi="Times New Roman" w:eastAsia="仿宋_GB2312" w:cs="仿宋_GB2312"/>
          <w:color w:val="auto"/>
          <w:kern w:val="2"/>
          <w:sz w:val="32"/>
          <w:szCs w:val="32"/>
          <w:highlight w:val="none"/>
          <w:lang w:val="zh-CN" w:eastAsia="zh-CN" w:bidi="ar-SA"/>
        </w:rPr>
        <w:t>。</w:t>
      </w:r>
    </w:p>
    <w:p w14:paraId="6D282E2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（1）人均资产变化率。部门人均资产变化率=（当年行政事业单位人均占有资产-上年行政事业单位人均占有资产）=（2.8-1.33）/1.33=1.11</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上年行政事业单位人均占有资产=（固定资产净值+无形资产净值）÷行政事业单位编制内实有人数=（14.37+0.24）/11=1.33；当年行政事业单位人均占有资产=（固定资产净值+无形资产净值）÷行政事业单位编制内实有人数=（33.41+0.16）/12=2.8；2025年本部门人均资产变化率</w:t>
      </w:r>
      <w:r>
        <w:rPr>
          <w:rFonts w:hint="eastAsia" w:eastAsia="仿宋_GB2312" w:cs="仿宋_GB2312"/>
          <w:color w:val="auto"/>
          <w:kern w:val="2"/>
          <w:sz w:val="32"/>
          <w:szCs w:val="32"/>
          <w:highlight w:val="none"/>
          <w:lang w:val="en-US" w:eastAsia="zh-CN" w:bidi="ar-SA"/>
        </w:rPr>
        <w:t>大</w:t>
      </w:r>
      <w:r>
        <w:rPr>
          <w:rFonts w:hint="eastAsia" w:ascii="Times New Roman" w:hAnsi="Times New Roman" w:eastAsia="仿宋_GB2312" w:cs="仿宋_GB2312"/>
          <w:color w:val="auto"/>
          <w:kern w:val="2"/>
          <w:sz w:val="32"/>
          <w:szCs w:val="32"/>
          <w:highlight w:val="none"/>
          <w:lang w:val="zh-CN" w:eastAsia="zh-CN" w:bidi="ar-SA"/>
        </w:rPr>
        <w:t>于-5.13%，本年度新增固定资产、无形资产入账，单位编制内实有人数无同步增长，导致人均占有资产大幅上升。该项指标得分为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zh-CN" w:eastAsia="zh-CN" w:bidi="ar-SA"/>
        </w:rPr>
        <w:t>3分。</w:t>
      </w:r>
    </w:p>
    <w:p w14:paraId="6550B25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（2）资产利用率。</w:t>
      </w:r>
    </w:p>
    <w:p w14:paraId="77A84D3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2025年本部门资产利用率高。该项指标得分为3分。</w:t>
      </w:r>
    </w:p>
    <w:p w14:paraId="0C49EC4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lang w:val="zh-CN" w:eastAsia="zh-CN" w:bidi="ar-SA"/>
        </w:rPr>
        <w:t>（</w:t>
      </w:r>
      <w:r>
        <w:rPr>
          <w:rFonts w:hint="eastAsia" w:eastAsia="仿宋_GB2312" w:cs="仿宋_GB2312"/>
          <w:color w:val="auto"/>
          <w:kern w:val="2"/>
          <w:sz w:val="32"/>
          <w:szCs w:val="32"/>
          <w:lang w:val="en-US" w:eastAsia="zh-CN" w:bidi="ar-SA"/>
        </w:rPr>
        <w:t>3</w:t>
      </w:r>
      <w:r>
        <w:rPr>
          <w:rFonts w:hint="eastAsia" w:ascii="Times New Roman" w:hAnsi="Times New Roman" w:eastAsia="仿宋_GB2312" w:cs="仿宋_GB2312"/>
          <w:color w:val="auto"/>
          <w:kern w:val="2"/>
          <w:sz w:val="32"/>
          <w:szCs w:val="32"/>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资产盘活率。</w:t>
      </w:r>
    </w:p>
    <w:p w14:paraId="058A721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2025年本部门无闲置资产。该项指标得分为3分。</w:t>
      </w:r>
    </w:p>
    <w:p w14:paraId="6278A04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lang w:val="zh-CN"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采购管理（指标分值</w:t>
      </w:r>
      <w:r>
        <w:rPr>
          <w:rFonts w:hint="eastAsia"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分，得分</w:t>
      </w:r>
      <w:r>
        <w:rPr>
          <w:rFonts w:hint="eastAsia"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分）</w:t>
      </w:r>
      <w:r>
        <w:rPr>
          <w:rFonts w:hint="eastAsia" w:ascii="Times New Roman" w:hAnsi="Times New Roman" w:eastAsia="仿宋_GB2312" w:cs="仿宋_GB2312"/>
          <w:color w:val="auto"/>
          <w:kern w:val="2"/>
          <w:sz w:val="32"/>
          <w:szCs w:val="32"/>
          <w:highlight w:val="none"/>
          <w:lang w:val="zh-CN" w:eastAsia="zh-CN" w:bidi="ar-SA"/>
        </w:rPr>
        <w:t>。</w:t>
      </w:r>
    </w:p>
    <w:p w14:paraId="65F6F95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2025年本部门支持中小企业发展，采购执行率100%。该项指标得分为6分。</w:t>
      </w:r>
    </w:p>
    <w:p w14:paraId="143BB68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142DCA1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21</w:t>
      </w:r>
      <w:r>
        <w:rPr>
          <w:rFonts w:hint="default" w:ascii="Times New Roman" w:hAnsi="Times New Roman" w:eastAsia="仿宋_GB2312" w:cs="仿宋_GB2312"/>
          <w:color w:val="auto"/>
          <w:kern w:val="2"/>
          <w:sz w:val="32"/>
          <w:szCs w:val="32"/>
          <w:highlight w:val="none"/>
          <w:lang w:val="zh-CN" w:eastAsia="zh-CN" w:bidi="ar-SA"/>
        </w:rPr>
        <w:t>个，涉及预算总金额326.69万元，1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0B518C9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8</w:t>
      </w:r>
      <w:r>
        <w:rPr>
          <w:rFonts w:hint="default" w:ascii="Times New Roman" w:hAnsi="Times New Roman" w:eastAsia="仿宋_GB2312" w:cs="仿宋_GB2312"/>
          <w:color w:val="auto"/>
          <w:kern w:val="2"/>
          <w:sz w:val="32"/>
          <w:szCs w:val="32"/>
          <w:highlight w:val="none"/>
          <w:lang w:val="zh-CN" w:eastAsia="zh-CN" w:bidi="ar-SA"/>
        </w:rPr>
        <w:t>个，涉及预算总金额152.72万元，1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162E22A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lang w:val="zh-CN"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default" w:ascii="Times New Roman" w:hAnsi="Times New Roman" w:eastAsia="仿宋_GB2312" w:cs="仿宋_GB2312"/>
          <w:color w:val="auto"/>
          <w:kern w:val="2"/>
          <w:sz w:val="32"/>
          <w:szCs w:val="32"/>
          <w:highlight w:val="none"/>
          <w:lang w:val="zh-CN" w:eastAsia="zh-CN" w:bidi="ar-SA"/>
        </w:rPr>
        <w:t>（指标分值</w:t>
      </w:r>
      <w:r>
        <w:rPr>
          <w:rFonts w:hint="eastAsia" w:eastAsia="仿宋_GB2312" w:cs="仿宋_GB2312"/>
          <w:color w:val="auto"/>
          <w:kern w:val="2"/>
          <w:sz w:val="32"/>
          <w:szCs w:val="32"/>
          <w:highlight w:val="none"/>
          <w:lang w:val="en-US" w:eastAsia="zh-CN" w:bidi="ar-SA"/>
        </w:rPr>
        <w:t>12</w:t>
      </w:r>
      <w:r>
        <w:rPr>
          <w:rFonts w:hint="default" w:ascii="Times New Roman" w:hAnsi="Times New Roman" w:eastAsia="仿宋_GB2312" w:cs="仿宋_GB2312"/>
          <w:color w:val="auto"/>
          <w:kern w:val="2"/>
          <w:sz w:val="32"/>
          <w:szCs w:val="32"/>
          <w:highlight w:val="none"/>
          <w:lang w:val="zh-CN" w:eastAsia="zh-CN" w:bidi="ar-SA"/>
        </w:rPr>
        <w:t>分，得分</w:t>
      </w:r>
      <w:r>
        <w:rPr>
          <w:rFonts w:hint="eastAsia" w:eastAsia="仿宋_GB2312" w:cs="仿宋_GB2312"/>
          <w:color w:val="auto"/>
          <w:kern w:val="2"/>
          <w:sz w:val="32"/>
          <w:szCs w:val="32"/>
          <w:highlight w:val="none"/>
          <w:lang w:val="en-US" w:eastAsia="zh-CN" w:bidi="ar-SA"/>
        </w:rPr>
        <w:t>12</w:t>
      </w:r>
      <w:r>
        <w:rPr>
          <w:rFonts w:hint="default" w:ascii="Times New Roman" w:hAnsi="Times New Roman" w:eastAsia="仿宋_GB2312" w:cs="仿宋_GB2312"/>
          <w:color w:val="auto"/>
          <w:kern w:val="2"/>
          <w:sz w:val="32"/>
          <w:szCs w:val="32"/>
          <w:highlight w:val="none"/>
          <w:lang w:val="zh-CN" w:eastAsia="zh-CN" w:bidi="ar-SA"/>
        </w:rPr>
        <w:t>分）</w:t>
      </w:r>
      <w:r>
        <w:rPr>
          <w:rFonts w:hint="eastAsia" w:ascii="Times New Roman" w:hAnsi="Times New Roman" w:eastAsia="仿宋_GB2312" w:cs="仿宋_GB2312"/>
          <w:color w:val="auto"/>
          <w:kern w:val="2"/>
          <w:sz w:val="32"/>
          <w:szCs w:val="32"/>
          <w:highlight w:val="none"/>
          <w:lang w:val="zh-CN" w:eastAsia="zh-CN" w:bidi="ar-SA"/>
        </w:rPr>
        <w:t>。</w:t>
      </w:r>
    </w:p>
    <w:p w14:paraId="313C7A8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（1）决策程序。根据上级文件要求，年初部门预算均按相关规定履行评估、申报等程序。该项指标得分为4分。</w:t>
      </w:r>
    </w:p>
    <w:p w14:paraId="62FF20D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（2）目标设置。2025年本部门均按上级文件要求，编制了绩效目标，绩效目标内容基本完整、科学合理。该项指标得分为4分。</w:t>
      </w:r>
    </w:p>
    <w:p w14:paraId="2C22737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（3）项目入库。根据上级文件要求，2025年本部门特定目标类项目均已入库，项目入库及时率100.00%。该项指标得分为4分。</w:t>
      </w:r>
    </w:p>
    <w:p w14:paraId="6DB9CE2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default" w:ascii="Times New Roman" w:hAnsi="Times New Roman" w:eastAsia="仿宋_GB2312" w:cs="仿宋_GB2312"/>
          <w:color w:val="auto"/>
          <w:kern w:val="2"/>
          <w:sz w:val="32"/>
          <w:szCs w:val="32"/>
          <w:highlight w:val="none"/>
          <w:lang w:val="zh-CN" w:eastAsia="zh-CN" w:bidi="ar-SA"/>
        </w:rPr>
        <w:t>（指标分值</w:t>
      </w:r>
      <w:r>
        <w:rPr>
          <w:rFonts w:hint="eastAsia" w:eastAsia="仿宋_GB2312" w:cs="仿宋_GB2312"/>
          <w:color w:val="auto"/>
          <w:kern w:val="2"/>
          <w:sz w:val="32"/>
          <w:szCs w:val="32"/>
          <w:highlight w:val="none"/>
          <w:lang w:val="en-US" w:eastAsia="zh-CN" w:bidi="ar-SA"/>
        </w:rPr>
        <w:t>12</w:t>
      </w:r>
      <w:r>
        <w:rPr>
          <w:rFonts w:hint="default" w:ascii="Times New Roman" w:hAnsi="Times New Roman" w:eastAsia="仿宋_GB2312" w:cs="仿宋_GB2312"/>
          <w:color w:val="auto"/>
          <w:kern w:val="2"/>
          <w:sz w:val="32"/>
          <w:szCs w:val="32"/>
          <w:highlight w:val="none"/>
          <w:lang w:val="zh-CN" w:eastAsia="zh-CN" w:bidi="ar-SA"/>
        </w:rPr>
        <w:t>分，得分</w:t>
      </w:r>
      <w:r>
        <w:rPr>
          <w:rFonts w:hint="eastAsia" w:eastAsia="仿宋_GB2312" w:cs="仿宋_GB2312"/>
          <w:color w:val="auto"/>
          <w:kern w:val="2"/>
          <w:sz w:val="32"/>
          <w:szCs w:val="32"/>
          <w:highlight w:val="none"/>
          <w:lang w:val="en-US" w:eastAsia="zh-CN" w:bidi="ar-SA"/>
        </w:rPr>
        <w:t>12</w:t>
      </w:r>
      <w:r>
        <w:rPr>
          <w:rFonts w:hint="default" w:ascii="Times New Roman" w:hAnsi="Times New Roman" w:eastAsia="仿宋_GB2312" w:cs="仿宋_GB2312"/>
          <w:color w:val="auto"/>
          <w:kern w:val="2"/>
          <w:sz w:val="32"/>
          <w:szCs w:val="32"/>
          <w:highlight w:val="none"/>
          <w:lang w:val="zh-CN" w:eastAsia="zh-CN" w:bidi="ar-SA"/>
        </w:rPr>
        <w:t>分）</w:t>
      </w:r>
      <w:r>
        <w:rPr>
          <w:rFonts w:hint="eastAsia" w:ascii="Times New Roman" w:hAnsi="Times New Roman" w:eastAsia="仿宋_GB2312" w:cs="仿宋_GB2312"/>
          <w:color w:val="auto"/>
          <w:kern w:val="2"/>
          <w:sz w:val="32"/>
          <w:szCs w:val="32"/>
          <w:highlight w:val="none"/>
          <w:lang w:val="zh-CN" w:eastAsia="zh-CN" w:bidi="ar-SA"/>
        </w:rPr>
        <w:t>。</w:t>
      </w:r>
    </w:p>
    <w:p w14:paraId="6D04164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（1）执行同向。2025年本部</w:t>
      </w:r>
      <w:r>
        <w:rPr>
          <w:rFonts w:hint="eastAsia" w:eastAsia="仿宋_GB2312" w:cs="仿宋_GB2312"/>
          <w:color w:val="auto"/>
          <w:kern w:val="2"/>
          <w:sz w:val="32"/>
          <w:szCs w:val="32"/>
          <w:highlight w:val="none"/>
          <w:lang w:val="zh-CN" w:eastAsia="zh-CN" w:bidi="ar-SA"/>
        </w:rPr>
        <w:t>门对</w:t>
      </w:r>
      <w:r>
        <w:rPr>
          <w:rFonts w:hint="eastAsia" w:ascii="Times New Roman" w:hAnsi="Times New Roman" w:eastAsia="仿宋_GB2312" w:cs="仿宋_GB2312"/>
          <w:color w:val="auto"/>
          <w:kern w:val="2"/>
          <w:sz w:val="32"/>
          <w:szCs w:val="32"/>
          <w:highlight w:val="none"/>
          <w:lang w:val="zh-CN" w:eastAsia="zh-CN" w:bidi="ar-SA"/>
        </w:rPr>
        <w:t>项目实施资料进行了查看，项目实际列支内容均与绩效目标设置方向相符，未发现资金用于非关键领域、低效浪费等情况。该项指标得分为4分。</w:t>
      </w:r>
    </w:p>
    <w:p w14:paraId="0DFF7C0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（2）项目调整。2025年本部门所有预算项目开展了绩效运行监控，监控重点包括项目过程管控、预算执行进度等。并根据监控结果，采取了对应调整措施。该项指标得分为4分。</w:t>
      </w:r>
    </w:p>
    <w:p w14:paraId="61F6CAB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（3）执行结果。2025年本部门预算结余率为0，该项指标得分为4分。</w:t>
      </w:r>
    </w:p>
    <w:p w14:paraId="6135964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default" w:ascii="Times New Roman" w:hAnsi="Times New Roman" w:eastAsia="仿宋_GB2312" w:cs="仿宋_GB2312"/>
          <w:color w:val="auto"/>
          <w:kern w:val="2"/>
          <w:sz w:val="32"/>
          <w:szCs w:val="32"/>
          <w:highlight w:val="none"/>
          <w:lang w:val="zh-CN" w:eastAsia="zh-CN" w:bidi="ar-SA"/>
        </w:rPr>
        <w:t>（指标分值</w:t>
      </w:r>
      <w:r>
        <w:rPr>
          <w:rFonts w:hint="eastAsia" w:eastAsia="仿宋_GB2312" w:cs="仿宋_GB2312"/>
          <w:color w:val="auto"/>
          <w:kern w:val="2"/>
          <w:sz w:val="32"/>
          <w:szCs w:val="32"/>
          <w:highlight w:val="none"/>
          <w:lang w:val="en-US" w:eastAsia="zh-CN" w:bidi="ar-SA"/>
        </w:rPr>
        <w:t>11</w:t>
      </w:r>
      <w:r>
        <w:rPr>
          <w:rFonts w:hint="default" w:ascii="Times New Roman" w:hAnsi="Times New Roman" w:eastAsia="仿宋_GB2312" w:cs="仿宋_GB2312"/>
          <w:color w:val="auto"/>
          <w:kern w:val="2"/>
          <w:sz w:val="32"/>
          <w:szCs w:val="32"/>
          <w:highlight w:val="none"/>
          <w:lang w:val="zh-CN" w:eastAsia="zh-CN" w:bidi="ar-SA"/>
        </w:rPr>
        <w:t>分，得分</w:t>
      </w:r>
      <w:r>
        <w:rPr>
          <w:rFonts w:hint="eastAsia" w:eastAsia="仿宋_GB2312" w:cs="仿宋_GB2312"/>
          <w:color w:val="auto"/>
          <w:kern w:val="2"/>
          <w:sz w:val="32"/>
          <w:szCs w:val="32"/>
          <w:highlight w:val="none"/>
          <w:lang w:val="en-US" w:eastAsia="zh-CN" w:bidi="ar-SA"/>
        </w:rPr>
        <w:t>11</w:t>
      </w:r>
      <w:r>
        <w:rPr>
          <w:rFonts w:hint="default" w:ascii="Times New Roman" w:hAnsi="Times New Roman" w:eastAsia="仿宋_GB2312" w:cs="仿宋_GB2312"/>
          <w:color w:val="auto"/>
          <w:kern w:val="2"/>
          <w:sz w:val="32"/>
          <w:szCs w:val="32"/>
          <w:highlight w:val="none"/>
          <w:lang w:val="zh-CN" w:eastAsia="zh-CN" w:bidi="ar-SA"/>
        </w:rPr>
        <w:t>分）</w:t>
      </w:r>
      <w:r>
        <w:rPr>
          <w:rFonts w:hint="eastAsia" w:ascii="Times New Roman" w:hAnsi="Times New Roman" w:eastAsia="仿宋_GB2312" w:cs="仿宋_GB2312"/>
          <w:color w:val="auto"/>
          <w:kern w:val="2"/>
          <w:sz w:val="32"/>
          <w:szCs w:val="32"/>
          <w:highlight w:val="none"/>
          <w:lang w:val="zh-CN" w:eastAsia="zh-CN" w:bidi="ar-SA"/>
        </w:rPr>
        <w:t>。</w:t>
      </w:r>
    </w:p>
    <w:p w14:paraId="6117C13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（1）目标完成。2025年本部门整体工作完成情况较好，预算项目绩效目标数量指标完成率100%。该项指标得分为4分。</w:t>
      </w:r>
    </w:p>
    <w:p w14:paraId="2CA1F05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（2）目标偏离。2025年本部门完成预期指标值的数量指标中偏离度在30%内的指标个数0个。该项指标得分为4分。</w:t>
      </w:r>
    </w:p>
    <w:p w14:paraId="3A31D88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（3）实现效果2025年本部门效益指标全部完成。该项指标得分为3分。</w:t>
      </w:r>
    </w:p>
    <w:p w14:paraId="13AB769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2B4E9AB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zh-CN" w:eastAsia="zh-CN" w:bidi="ar"/>
        </w:rPr>
      </w:pPr>
      <w:r>
        <w:rPr>
          <w:rFonts w:hint="default" w:ascii="Times New Roman" w:hAnsi="Times New Roman" w:eastAsia="仿宋_GB2312" w:cs="Times New Roman"/>
          <w:sz w:val="32"/>
          <w:szCs w:val="32"/>
          <w:u w:val="none"/>
          <w:lang w:val="zh-CN" w:eastAsia="zh-CN" w:bidi="ar"/>
        </w:rPr>
        <w:t>1.内部应用情况</w:t>
      </w:r>
    </w:p>
    <w:p w14:paraId="4F65501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zh-CN" w:eastAsia="zh-CN" w:bidi="ar"/>
        </w:rPr>
        <w:t>2025</w:t>
      </w:r>
      <w:r>
        <w:rPr>
          <w:rFonts w:hint="default" w:ascii="Times New Roman" w:hAnsi="Times New Roman" w:eastAsia="仿宋_GB2312" w:cs="Times New Roman"/>
          <w:sz w:val="32"/>
          <w:szCs w:val="32"/>
          <w:u w:val="none"/>
          <w:lang w:val="zh-CN" w:eastAsia="zh-CN" w:bidi="ar"/>
        </w:rPr>
        <w:t>年本部门加强各业务股室与绩效管理工作的联系，明确考核及绩效结果与专项预算安排挂钩举措，推动绩效管理工作的实施，将预算绩效结果和预算绩效工作考核结果作为改进业务管理、财务管理的重要参考，严格落实“过紧日子”要求，扎实开展绩效评价工作。</w:t>
      </w:r>
    </w:p>
    <w:p w14:paraId="0D6A72D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zh-CN" w:eastAsia="zh-CN" w:bidi="ar"/>
        </w:rPr>
      </w:pPr>
      <w:r>
        <w:rPr>
          <w:rFonts w:hint="default" w:ascii="Times New Roman" w:hAnsi="Times New Roman" w:eastAsia="仿宋_GB2312" w:cs="Times New Roman"/>
          <w:sz w:val="32"/>
          <w:szCs w:val="32"/>
          <w:u w:val="none"/>
          <w:lang w:val="zh-CN" w:eastAsia="zh-CN" w:bidi="ar"/>
        </w:rPr>
        <w:t>2.信息公开情况</w:t>
      </w:r>
    </w:p>
    <w:p w14:paraId="6567135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zh-CN" w:eastAsia="zh-CN" w:bidi="ar"/>
        </w:rPr>
        <w:t>2025</w:t>
      </w:r>
      <w:r>
        <w:rPr>
          <w:rFonts w:hint="default" w:ascii="Times New Roman" w:hAnsi="Times New Roman" w:eastAsia="仿宋_GB2312" w:cs="Times New Roman"/>
          <w:sz w:val="32"/>
          <w:szCs w:val="32"/>
          <w:u w:val="none"/>
          <w:lang w:val="zh-CN" w:eastAsia="zh-CN" w:bidi="ar"/>
        </w:rPr>
        <w:t>年本部门按照</w:t>
      </w:r>
      <w:r>
        <w:rPr>
          <w:rFonts w:hint="eastAsia" w:eastAsia="仿宋_GB2312" w:cs="Times New Roman"/>
          <w:sz w:val="32"/>
          <w:szCs w:val="32"/>
          <w:u w:val="none"/>
          <w:lang w:val="en-US" w:eastAsia="zh-CN" w:bidi="ar"/>
        </w:rPr>
        <w:t>上级部门</w:t>
      </w:r>
      <w:r>
        <w:rPr>
          <w:rFonts w:hint="default" w:ascii="Times New Roman" w:hAnsi="Times New Roman" w:eastAsia="仿宋_GB2312" w:cs="Times New Roman"/>
          <w:sz w:val="32"/>
          <w:szCs w:val="32"/>
          <w:u w:val="none"/>
          <w:lang w:val="zh-CN" w:eastAsia="zh-CN" w:bidi="ar"/>
        </w:rPr>
        <w:t>的要求，公开了</w:t>
      </w:r>
      <w:r>
        <w:rPr>
          <w:rFonts w:hint="eastAsia" w:ascii="Times New Roman" w:hAnsi="Times New Roman" w:eastAsia="仿宋_GB2312" w:cs="Times New Roman"/>
          <w:sz w:val="32"/>
          <w:szCs w:val="32"/>
          <w:u w:val="none"/>
          <w:lang w:val="zh-CN" w:eastAsia="zh-CN" w:bidi="ar"/>
        </w:rPr>
        <w:t>2025</w:t>
      </w:r>
      <w:r>
        <w:rPr>
          <w:rFonts w:hint="default" w:ascii="Times New Roman" w:hAnsi="Times New Roman" w:eastAsia="仿宋_GB2312" w:cs="Times New Roman"/>
          <w:sz w:val="32"/>
          <w:szCs w:val="32"/>
          <w:u w:val="none"/>
          <w:lang w:val="zh-CN" w:eastAsia="zh-CN" w:bidi="ar"/>
        </w:rPr>
        <w:t>年部门预算和绩效目标、年度部门整体支出和项目支出自评报告、部门决算。</w:t>
      </w:r>
    </w:p>
    <w:p w14:paraId="4EECDA4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zh-CN" w:eastAsia="zh-CN" w:bidi="ar"/>
        </w:rPr>
      </w:pPr>
      <w:r>
        <w:rPr>
          <w:rFonts w:hint="default" w:ascii="Times New Roman" w:hAnsi="Times New Roman" w:eastAsia="仿宋_GB2312" w:cs="Times New Roman"/>
          <w:sz w:val="32"/>
          <w:szCs w:val="32"/>
          <w:u w:val="none"/>
          <w:lang w:val="zh-CN" w:eastAsia="zh-CN" w:bidi="ar"/>
        </w:rPr>
        <w:t>3.整改反馈情况</w:t>
      </w:r>
    </w:p>
    <w:p w14:paraId="34E2A18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zh-CN" w:eastAsia="zh-CN" w:bidi="ar"/>
        </w:rPr>
        <w:t>无。</w:t>
      </w:r>
    </w:p>
    <w:p w14:paraId="37F2FEF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6A6A44B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1623C17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2025年度，本单位认真贯彻《</w:t>
      </w:r>
      <w:r>
        <w:rPr>
          <w:rFonts w:hint="eastAsia" w:eastAsia="仿宋_GB2312" w:cs="Times New Roman"/>
          <w:sz w:val="32"/>
          <w:szCs w:val="32"/>
          <w:u w:val="none"/>
          <w:lang w:val="en-US" w:eastAsia="zh-CN" w:bidi="ar"/>
        </w:rPr>
        <w:t>中共中央、国务院</w:t>
      </w:r>
      <w:r>
        <w:rPr>
          <w:rFonts w:hint="eastAsia" w:ascii="Times New Roman" w:hAnsi="Times New Roman" w:eastAsia="仿宋_GB2312" w:cs="Times New Roman"/>
          <w:sz w:val="32"/>
          <w:szCs w:val="32"/>
          <w:u w:val="none"/>
          <w:lang w:val="en-US" w:eastAsia="zh-CN" w:bidi="ar"/>
        </w:rPr>
        <w:t>关于全面实施预算绩效管理的意见》（中发〔2018〕34号）、《国务院关于进一步深化预算管理制度改革的意见》（国发〔2021〕5号）、《中共四川省委办公厅四川省人民政府办公厅关于深入实施预算绩效管理的通知》（川委厅〔2022〕5号）精神，切实履行绩效管理的主体责任，按照预算绩效管理一体化的要求，努力将绩效管理融入预算编制、预算执行、预算监督全过程。通过开展事前绩效评估，严格绩效目标管理，强化绩效运行监控，完善绩效自评机制，拓宽结果应用范围等方式，达到全过程预算绩效管理的目的。通过自评部门整体绩效评价最终得分</w:t>
      </w:r>
      <w:r>
        <w:rPr>
          <w:rFonts w:hint="eastAsia" w:eastAsia="仿宋_GB2312" w:cs="Times New Roman"/>
          <w:sz w:val="32"/>
          <w:szCs w:val="32"/>
          <w:u w:val="none"/>
          <w:lang w:val="en-US" w:eastAsia="zh-CN" w:bidi="ar"/>
        </w:rPr>
        <w:t>95.8</w:t>
      </w:r>
      <w:r>
        <w:rPr>
          <w:rFonts w:hint="eastAsia" w:ascii="Times New Roman" w:hAnsi="Times New Roman" w:eastAsia="仿宋_GB2312" w:cs="Times New Roman"/>
          <w:sz w:val="32"/>
          <w:szCs w:val="32"/>
          <w:u w:val="none"/>
          <w:lang w:val="en-US" w:eastAsia="zh-CN" w:bidi="ar"/>
        </w:rPr>
        <w:t>分。</w:t>
      </w:r>
    </w:p>
    <w:p w14:paraId="0B137C4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shd w:val="clear" w:fill="FFFFFF"/>
          <w:lang w:val="zh-CN" w:eastAsia="zh-CN" w:bidi="ar-SA"/>
        </w:rPr>
        <w:t>（二）</w:t>
      </w: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14:paraId="6908577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一是预算编制质量不够精准规范，影响整体绩效评分。预算编制环节前瞻性、精准性不足，精准测算环节不够扎实，全流程预算管控的源头把控力度不足。二是人均资产变化率指标管控不到位，未</w:t>
      </w:r>
      <w:r>
        <w:rPr>
          <w:rFonts w:hint="eastAsia" w:eastAsia="仿宋_GB2312" w:cs="Times New Roman"/>
          <w:sz w:val="32"/>
          <w:szCs w:val="32"/>
          <w:u w:val="none"/>
          <w:lang w:val="en-US" w:eastAsia="zh-CN" w:bidi="ar"/>
        </w:rPr>
        <w:t>达到</w:t>
      </w:r>
      <w:r>
        <w:rPr>
          <w:rFonts w:hint="eastAsia" w:ascii="Times New Roman" w:hAnsi="Times New Roman" w:eastAsia="仿宋_GB2312" w:cs="Times New Roman"/>
          <w:sz w:val="32"/>
          <w:szCs w:val="32"/>
          <w:u w:val="none"/>
          <w:lang w:val="en-US" w:eastAsia="zh-CN" w:bidi="ar"/>
        </w:rPr>
        <w:t>预期评价标准。</w:t>
      </w:r>
    </w:p>
    <w:p w14:paraId="2F24317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楷体_GB2312" w:cs="Times New Roman"/>
          <w:b/>
          <w:bCs/>
          <w:color w:val="000000"/>
          <w:kern w:val="0"/>
          <w:sz w:val="32"/>
          <w:szCs w:val="32"/>
          <w:shd w:val="clear" w:fill="FFFFFF"/>
          <w:lang w:val="zh-CN" w:eastAsia="zh-CN" w:bidi="ar-SA"/>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p>
    <w:p w14:paraId="30EFED1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bookmarkStart w:id="0" w:name="_Hlk110546638"/>
      <w:r>
        <w:rPr>
          <w:rFonts w:hint="eastAsia" w:ascii="Times New Roman" w:hAnsi="Times New Roman" w:eastAsia="仿宋_GB2312" w:cs="Times New Roman"/>
          <w:sz w:val="32"/>
          <w:szCs w:val="32"/>
          <w:u w:val="none"/>
          <w:lang w:val="en-US" w:eastAsia="zh-CN" w:bidi="ar"/>
        </w:rPr>
        <w:t>在下一步工作中，将进一步提升预算编制的准确性。编制单位预算时，应根据工作需要提出经费需求，同时根据经费总量、收支标准、编配标准等因素进行平衡，预算编制、政府采购、资产管理、业务部门等相关预算岗位之间应密切沟通协调，使预算能满足各项业务工作计划的需要，和编配标准相适应。同时，严格落实预算绩效管理要求，进一步强化绩效管理理念，夯实基础工作，加强前期调研与论证，结合项目业务特点或借鉴学习先进可行的绩效目标操作管理方法，提高绩效目标填报水平、预算执行有效性、绩效自评质量、绩效结果应用等。</w:t>
      </w:r>
    </w:p>
    <w:bookmarkEnd w:id="0"/>
    <w:p w14:paraId="3E563D3B"/>
    <w:p w14:paraId="2BCBDC3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附表：1.部门预算绩效</w:t>
      </w:r>
      <w:r>
        <w:rPr>
          <w:rFonts w:hint="eastAsia" w:ascii="Times New Roman" w:hAnsi="Times New Roman" w:eastAsia="仿宋_GB2312" w:cs="Times New Roman"/>
          <w:sz w:val="32"/>
          <w:szCs w:val="32"/>
          <w:u w:val="none"/>
          <w:lang w:val="en-US" w:eastAsia="zh-CN" w:bidi="ar"/>
        </w:rPr>
        <w:t>（整体）</w:t>
      </w:r>
      <w:r>
        <w:rPr>
          <w:rFonts w:hint="default" w:ascii="Times New Roman" w:hAnsi="Times New Roman" w:eastAsia="仿宋_GB2312" w:cs="Times New Roman"/>
          <w:sz w:val="32"/>
          <w:szCs w:val="32"/>
          <w:u w:val="none"/>
          <w:lang w:val="en-US" w:eastAsia="zh-CN" w:bidi="ar"/>
        </w:rPr>
        <w:t>自评打分表</w:t>
      </w:r>
    </w:p>
    <w:p w14:paraId="089E7AD6">
      <w:pPr>
        <w:keepNext w:val="0"/>
        <w:keepLines w:val="0"/>
        <w:pageBreakBefore w:val="0"/>
        <w:widowControl/>
        <w:kinsoku/>
        <w:wordWrap/>
        <w:overflowPunct/>
        <w:topLinePunct w:val="0"/>
        <w:autoSpaceDE/>
        <w:autoSpaceDN/>
        <w:bidi w:val="0"/>
        <w:adjustRightInd w:val="0"/>
        <w:snapToGrid w:val="0"/>
        <w:spacing w:line="578" w:lineRule="exact"/>
        <w:ind w:firstLine="1600" w:firstLineChars="5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2.部门整体绩效目标完成情况自评表</w:t>
      </w:r>
    </w:p>
    <w:p w14:paraId="6DE83244">
      <w:pPr>
        <w:keepNext w:val="0"/>
        <w:keepLines w:val="0"/>
        <w:pageBreakBefore w:val="0"/>
        <w:widowControl/>
        <w:kinsoku/>
        <w:wordWrap/>
        <w:overflowPunct/>
        <w:topLinePunct w:val="0"/>
        <w:autoSpaceDE/>
        <w:autoSpaceDN/>
        <w:bidi w:val="0"/>
        <w:adjustRightInd w:val="0"/>
        <w:snapToGrid w:val="0"/>
        <w:spacing w:line="578" w:lineRule="exact"/>
        <w:ind w:firstLine="1600" w:firstLineChars="5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eastAsia" w:eastAsia="仿宋_GB2312" w:cs="Times New Roman"/>
          <w:sz w:val="32"/>
          <w:szCs w:val="32"/>
          <w:u w:val="none"/>
          <w:lang w:val="en-US" w:eastAsia="zh-CN" w:bidi="ar"/>
        </w:rPr>
        <w:t>3</w:t>
      </w:r>
      <w:r>
        <w:rPr>
          <w:rFonts w:hint="default" w:ascii="Times New Roman" w:hAnsi="Times New Roman" w:eastAsia="仿宋_GB2312" w:cs="Times New Roman"/>
          <w:sz w:val="32"/>
          <w:szCs w:val="32"/>
          <w:u w:val="none"/>
          <w:lang w:val="en-US" w:eastAsia="zh-CN" w:bidi="ar"/>
        </w:rPr>
        <w:t>.部门预算（整体）绩效评价指标体系</w:t>
      </w:r>
    </w:p>
    <w:p w14:paraId="72FAEC10">
      <w:pPr>
        <w:keepNext w:val="0"/>
        <w:keepLines w:val="0"/>
        <w:pageBreakBefore w:val="0"/>
        <w:widowControl/>
        <w:kinsoku/>
        <w:wordWrap/>
        <w:overflowPunct/>
        <w:topLinePunct w:val="0"/>
        <w:autoSpaceDE/>
        <w:autoSpaceDN/>
        <w:bidi w:val="0"/>
        <w:adjustRightInd w:val="0"/>
        <w:snapToGrid w:val="0"/>
        <w:spacing w:line="578" w:lineRule="exact"/>
        <w:ind w:firstLine="1600" w:firstLineChars="5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eastAsia" w:eastAsia="仿宋_GB2312" w:cs="Times New Roman"/>
          <w:sz w:val="32"/>
          <w:szCs w:val="32"/>
          <w:u w:val="none"/>
          <w:lang w:val="en-US" w:eastAsia="zh-CN" w:bidi="ar"/>
        </w:rPr>
        <w:t>4</w:t>
      </w:r>
      <w:r>
        <w:rPr>
          <w:rFonts w:hint="default" w:ascii="Times New Roman" w:hAnsi="Times New Roman" w:eastAsia="仿宋_GB2312" w:cs="Times New Roman"/>
          <w:sz w:val="32"/>
          <w:szCs w:val="32"/>
          <w:u w:val="none"/>
          <w:lang w:val="en-US" w:eastAsia="zh-CN" w:bidi="ar"/>
        </w:rPr>
        <w:t>.部门预算项目支出绩效评价表（</w:t>
      </w:r>
      <w:r>
        <w:rPr>
          <w:rFonts w:hint="eastAsia" w:ascii="Times New Roman" w:hAnsi="Times New Roman" w:eastAsia="仿宋_GB2312" w:cs="Times New Roman"/>
          <w:sz w:val="32"/>
          <w:szCs w:val="32"/>
          <w:u w:val="none"/>
          <w:lang w:val="en-US" w:eastAsia="zh-CN" w:bidi="ar"/>
        </w:rPr>
        <w:t>2025</w:t>
      </w:r>
      <w:r>
        <w:rPr>
          <w:rFonts w:hint="default" w:ascii="Times New Roman" w:hAnsi="Times New Roman" w:eastAsia="仿宋_GB2312" w:cs="Times New Roman"/>
          <w:sz w:val="32"/>
          <w:szCs w:val="32"/>
          <w:u w:val="none"/>
          <w:lang w:val="en-US" w:eastAsia="zh-CN" w:bidi="ar"/>
        </w:rPr>
        <w:t>年度）</w:t>
      </w:r>
    </w:p>
    <w:p w14:paraId="1D56B32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593B688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112DC273">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775BD20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06A34B3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535FF5D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5BCED1E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7CBE331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4770218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01500C0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471A7C7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2FD33963">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1C4F8AB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43ABE5A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33BC737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682CFA8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color w:val="000000"/>
          <w:kern w:val="0"/>
          <w:sz w:val="44"/>
          <w:szCs w:val="44"/>
          <w:highlight w:val="none"/>
          <w:u w:val="none"/>
          <w:lang w:val="en-US" w:eastAsia="zh-CN" w:bidi="ar-SA"/>
        </w:rPr>
      </w:pPr>
    </w:p>
    <w:p w14:paraId="7C15F1F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p>
    <w:p w14:paraId="558C4A64">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表1</w:t>
      </w:r>
    </w:p>
    <w:p w14:paraId="0874A84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仿宋_GB2312" w:cs="Times New Roman"/>
          <w:sz w:val="32"/>
          <w:szCs w:val="32"/>
          <w:u w:val="none"/>
          <w:lang w:val="en-US" w:eastAsia="zh-CN" w:bidi="ar"/>
        </w:rPr>
      </w:pPr>
      <w:r>
        <w:rPr>
          <w:rFonts w:hint="eastAsia" w:ascii="Times New Roman" w:hAnsi="Times New Roman" w:eastAsia="方正小标宋简体" w:cs="Times New Roman"/>
          <w:color w:val="000000"/>
          <w:kern w:val="0"/>
          <w:sz w:val="44"/>
          <w:szCs w:val="44"/>
          <w:highlight w:val="none"/>
          <w:u w:val="none"/>
          <w:lang w:val="en-US" w:eastAsia="zh-CN" w:bidi="ar-SA"/>
        </w:rPr>
        <w:t>部门预算</w:t>
      </w:r>
      <w:r>
        <w:rPr>
          <w:rFonts w:ascii="Times New Roman" w:hAnsi="Times New Roman" w:eastAsia="方正小标宋简体" w:cs="Times New Roman"/>
          <w:color w:val="000000"/>
          <w:kern w:val="0"/>
          <w:sz w:val="44"/>
          <w:szCs w:val="44"/>
          <w:highlight w:val="none"/>
          <w:u w:val="none"/>
          <w:lang w:val="en-US" w:eastAsia="zh-CN" w:bidi="ar-SA"/>
        </w:rPr>
        <w:t>（整体）</w:t>
      </w:r>
      <w:r>
        <w:rPr>
          <w:rFonts w:hint="eastAsia" w:ascii="Times New Roman" w:hAnsi="Times New Roman" w:eastAsia="方正小标宋简体" w:cs="Times New Roman"/>
          <w:color w:val="000000"/>
          <w:kern w:val="0"/>
          <w:sz w:val="44"/>
          <w:szCs w:val="44"/>
          <w:highlight w:val="none"/>
          <w:u w:val="none"/>
          <w:lang w:val="en-US" w:eastAsia="zh-CN" w:bidi="ar-SA"/>
        </w:rPr>
        <w:t>绩效自评打分表</w:t>
      </w:r>
    </w:p>
    <w:tbl>
      <w:tblPr>
        <w:tblStyle w:val="3"/>
        <w:tblW w:w="9238" w:type="dxa"/>
        <w:jc w:val="center"/>
        <w:tblLayout w:type="fixed"/>
        <w:tblCellMar>
          <w:top w:w="0" w:type="dxa"/>
          <w:left w:w="108" w:type="dxa"/>
          <w:bottom w:w="0" w:type="dxa"/>
          <w:right w:w="108" w:type="dxa"/>
        </w:tblCellMar>
      </w:tblPr>
      <w:tblGrid>
        <w:gridCol w:w="1105"/>
        <w:gridCol w:w="1013"/>
        <w:gridCol w:w="1620"/>
        <w:gridCol w:w="653"/>
        <w:gridCol w:w="3747"/>
        <w:gridCol w:w="733"/>
        <w:gridCol w:w="367"/>
      </w:tblGrid>
      <w:tr w14:paraId="4F851E51">
        <w:trPr>
          <w:trHeight w:val="587" w:hRule="atLeast"/>
          <w:jc w:val="center"/>
        </w:trPr>
        <w:tc>
          <w:tcPr>
            <w:tcW w:w="4391" w:type="dxa"/>
            <w:gridSpan w:val="4"/>
            <w:tcBorders>
              <w:top w:val="single" w:color="000000" w:sz="4" w:space="0"/>
              <w:left w:val="single" w:color="000000" w:sz="4" w:space="0"/>
              <w:bottom w:val="single" w:color="000000" w:sz="4" w:space="0"/>
              <w:right w:val="single" w:color="000000" w:sz="4" w:space="0"/>
            </w:tcBorders>
            <w:noWrap w:val="0"/>
            <w:vAlign w:val="center"/>
          </w:tcPr>
          <w:p w14:paraId="695A2C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绩效评价指标指标分值</w:t>
            </w:r>
          </w:p>
        </w:tc>
        <w:tc>
          <w:tcPr>
            <w:tcW w:w="3747" w:type="dxa"/>
            <w:vMerge w:val="restart"/>
            <w:tcBorders>
              <w:top w:val="single" w:color="000000" w:sz="4" w:space="0"/>
              <w:left w:val="single" w:color="000000" w:sz="4" w:space="0"/>
              <w:bottom w:val="single" w:color="000000" w:sz="4" w:space="0"/>
              <w:right w:val="single" w:color="000000" w:sz="4" w:space="0"/>
            </w:tcBorders>
            <w:noWrap w:val="0"/>
            <w:vAlign w:val="center"/>
          </w:tcPr>
          <w:p w14:paraId="5464F0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指标解释</w:t>
            </w:r>
          </w:p>
        </w:tc>
        <w:tc>
          <w:tcPr>
            <w:tcW w:w="733" w:type="dxa"/>
            <w:vMerge w:val="restart"/>
            <w:tcBorders>
              <w:top w:val="single" w:color="000000" w:sz="4" w:space="0"/>
              <w:left w:val="single" w:color="000000" w:sz="4" w:space="0"/>
              <w:bottom w:val="nil"/>
              <w:right w:val="single" w:color="000000" w:sz="4" w:space="0"/>
            </w:tcBorders>
            <w:noWrap w:val="0"/>
            <w:vAlign w:val="center"/>
          </w:tcPr>
          <w:p w14:paraId="73600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方正仿宋_GBK"/>
                <w:color w:val="000000"/>
                <w:kern w:val="0"/>
                <w:szCs w:val="21"/>
                <w:highlight w:val="none"/>
                <w:u w:val="none"/>
                <w:lang w:val="en-US" w:eastAsia="zh-CN"/>
              </w:rPr>
              <w:t>自评得分</w:t>
            </w:r>
          </w:p>
        </w:tc>
        <w:tc>
          <w:tcPr>
            <w:tcW w:w="367" w:type="dxa"/>
            <w:vMerge w:val="restart"/>
            <w:tcBorders>
              <w:top w:val="single" w:color="000000" w:sz="4" w:space="0"/>
              <w:left w:val="single" w:color="000000" w:sz="4" w:space="0"/>
              <w:bottom w:val="nil"/>
              <w:right w:val="single" w:color="000000" w:sz="4" w:space="0"/>
            </w:tcBorders>
            <w:noWrap w:val="0"/>
            <w:vAlign w:val="center"/>
          </w:tcPr>
          <w:p w14:paraId="043459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方正仿宋_GBK"/>
                <w:color w:val="000000"/>
                <w:kern w:val="0"/>
                <w:szCs w:val="21"/>
                <w:highlight w:val="none"/>
                <w:u w:val="none"/>
                <w:lang w:val="en-US" w:eastAsia="zh-CN"/>
              </w:rPr>
              <w:t>备注</w:t>
            </w:r>
          </w:p>
        </w:tc>
      </w:tr>
      <w:tr w14:paraId="0A856CED">
        <w:tblPrEx>
          <w:tblCellMar>
            <w:top w:w="0" w:type="dxa"/>
            <w:left w:w="108" w:type="dxa"/>
            <w:bottom w:w="0" w:type="dxa"/>
            <w:right w:w="108" w:type="dxa"/>
          </w:tblCellMar>
        </w:tblPrEx>
        <w:trPr>
          <w:trHeight w:val="679" w:hRule="atLeast"/>
          <w:jc w:val="center"/>
        </w:trPr>
        <w:tc>
          <w:tcPr>
            <w:tcW w:w="1105" w:type="dxa"/>
            <w:tcBorders>
              <w:top w:val="single" w:color="000000" w:sz="4" w:space="0"/>
              <w:left w:val="single" w:color="000000" w:sz="4" w:space="0"/>
              <w:bottom w:val="single" w:color="000000" w:sz="4" w:space="0"/>
              <w:right w:val="nil"/>
            </w:tcBorders>
            <w:noWrap w:val="0"/>
            <w:vAlign w:val="center"/>
          </w:tcPr>
          <w:p w14:paraId="537A0E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一级</w:t>
            </w:r>
            <w:r>
              <w:rPr>
                <w:rFonts w:ascii="Times New Roman" w:hAnsi="Times New Roman" w:eastAsia="方正仿宋_GBK"/>
                <w:color w:val="000000"/>
                <w:kern w:val="0"/>
                <w:szCs w:val="21"/>
                <w:highlight w:val="none"/>
                <w:u w:val="none"/>
                <w:lang w:val="en-US" w:eastAsia="zh-CN"/>
              </w:rPr>
              <w:t>　　</w:t>
            </w:r>
            <w:r>
              <w:rPr>
                <w:rFonts w:hint="default" w:ascii="Times New Roman" w:hAnsi="Times New Roman" w:eastAsia="方正仿宋_GBK"/>
                <w:color w:val="000000"/>
                <w:kern w:val="0"/>
                <w:szCs w:val="21"/>
                <w:highlight w:val="none"/>
                <w:u w:val="none"/>
                <w:lang w:val="en-US" w:eastAsia="zh-CN"/>
              </w:rPr>
              <w:t>指标</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E8304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二级指标</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2A5ED0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A18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指标</w:t>
            </w:r>
            <w:r>
              <w:rPr>
                <w:rFonts w:hint="default" w:ascii="Times New Roman" w:hAnsi="Times New Roman" w:eastAsia="方正仿宋_GBK"/>
                <w:color w:val="000000"/>
                <w:kern w:val="0"/>
                <w:szCs w:val="21"/>
                <w:highlight w:val="none"/>
                <w:u w:val="none"/>
                <w:lang w:val="en-US" w:eastAsia="zh-CN"/>
              </w:rPr>
              <w:br w:type="textWrapping"/>
            </w:r>
            <w:r>
              <w:rPr>
                <w:rFonts w:hint="default" w:ascii="Times New Roman" w:hAnsi="Times New Roman" w:eastAsia="方正仿宋_GBK"/>
                <w:color w:val="000000"/>
                <w:kern w:val="0"/>
                <w:szCs w:val="21"/>
                <w:highlight w:val="none"/>
                <w:u w:val="none"/>
                <w:lang w:val="en-US" w:eastAsia="zh-CN"/>
              </w:rPr>
              <w:t>分值</w:t>
            </w:r>
          </w:p>
        </w:tc>
        <w:tc>
          <w:tcPr>
            <w:tcW w:w="37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A8657">
            <w:pPr>
              <w:rPr>
                <w:highlight w:val="none"/>
              </w:rPr>
            </w:pPr>
          </w:p>
        </w:tc>
        <w:tc>
          <w:tcPr>
            <w:tcW w:w="733" w:type="dxa"/>
            <w:vMerge w:val="continue"/>
            <w:tcBorders>
              <w:top w:val="nil"/>
              <w:left w:val="single" w:color="000000" w:sz="4" w:space="0"/>
              <w:bottom w:val="single" w:color="000000" w:sz="4" w:space="0"/>
              <w:right w:val="single" w:color="000000" w:sz="4" w:space="0"/>
            </w:tcBorders>
            <w:noWrap w:val="0"/>
            <w:vAlign w:val="center"/>
          </w:tcPr>
          <w:p w14:paraId="2EF2FB97">
            <w:pPr>
              <w:rPr>
                <w:highlight w:val="none"/>
              </w:rPr>
            </w:pPr>
          </w:p>
        </w:tc>
        <w:tc>
          <w:tcPr>
            <w:tcW w:w="367" w:type="dxa"/>
            <w:vMerge w:val="continue"/>
            <w:tcBorders>
              <w:top w:val="nil"/>
              <w:left w:val="single" w:color="000000" w:sz="4" w:space="0"/>
              <w:bottom w:val="single" w:color="000000" w:sz="4" w:space="0"/>
              <w:right w:val="single" w:color="000000" w:sz="4" w:space="0"/>
            </w:tcBorders>
            <w:noWrap w:val="0"/>
            <w:vAlign w:val="center"/>
          </w:tcPr>
          <w:p w14:paraId="52AE1D71">
            <w:pPr>
              <w:rPr>
                <w:highlight w:val="none"/>
              </w:rPr>
            </w:pPr>
          </w:p>
        </w:tc>
      </w:tr>
      <w:tr w14:paraId="3CFC1AC0">
        <w:tblPrEx>
          <w:tblCellMar>
            <w:top w:w="0" w:type="dxa"/>
            <w:left w:w="108" w:type="dxa"/>
            <w:bottom w:w="0" w:type="dxa"/>
            <w:right w:w="108" w:type="dxa"/>
          </w:tblCellMar>
        </w:tblPrEx>
        <w:trPr>
          <w:trHeight w:val="932" w:hRule="atLeast"/>
          <w:jc w:val="center"/>
        </w:trPr>
        <w:tc>
          <w:tcPr>
            <w:tcW w:w="1105" w:type="dxa"/>
            <w:vMerge w:val="restart"/>
            <w:tcBorders>
              <w:top w:val="single" w:color="000000" w:sz="4" w:space="0"/>
              <w:left w:val="single" w:color="000000" w:sz="4" w:space="0"/>
              <w:bottom w:val="single" w:color="000000" w:sz="4" w:space="0"/>
              <w:right w:val="single" w:color="000000" w:sz="4" w:space="0"/>
            </w:tcBorders>
            <w:noWrap w:val="0"/>
            <w:vAlign w:val="center"/>
          </w:tcPr>
          <w:p w14:paraId="4868B5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总体绩效（65分）</w:t>
            </w:r>
          </w:p>
        </w:tc>
        <w:tc>
          <w:tcPr>
            <w:tcW w:w="1013" w:type="dxa"/>
            <w:vMerge w:val="restart"/>
            <w:tcBorders>
              <w:top w:val="single" w:color="000000" w:sz="4" w:space="0"/>
              <w:left w:val="single" w:color="000000" w:sz="4" w:space="0"/>
              <w:right w:val="single" w:color="000000" w:sz="4" w:space="0"/>
            </w:tcBorders>
            <w:noWrap w:val="0"/>
            <w:vAlign w:val="center"/>
          </w:tcPr>
          <w:p w14:paraId="592058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履职效能</w:t>
            </w:r>
            <w:r>
              <w:rPr>
                <w:rFonts w:hint="default" w:ascii="Times New Roman" w:hAnsi="Times New Roman" w:eastAsia="方正仿宋_GBK"/>
                <w:b/>
                <w:color w:val="000000"/>
                <w:kern w:val="0"/>
                <w:szCs w:val="21"/>
                <w:highlight w:val="none"/>
                <w:u w:val="none"/>
                <w:lang w:val="en-US" w:eastAsia="zh-CN"/>
              </w:rPr>
              <w:br w:type="textWrapping"/>
            </w:r>
            <w:r>
              <w:rPr>
                <w:rFonts w:hint="default" w:ascii="Times New Roman" w:hAnsi="Times New Roman" w:eastAsia="方正仿宋_GBK"/>
                <w:b/>
                <w:color w:val="000000"/>
                <w:kern w:val="0"/>
                <w:szCs w:val="21"/>
                <w:highlight w:val="none"/>
                <w:u w:val="none"/>
                <w:lang w:val="en-US" w:eastAsia="zh-CN"/>
              </w:rPr>
              <w:t>（1</w:t>
            </w:r>
            <w:r>
              <w:rPr>
                <w:rFonts w:ascii="Times New Roman" w:hAnsi="Times New Roman" w:eastAsia="方正仿宋_GBK"/>
                <w:b/>
                <w:color w:val="000000"/>
                <w:kern w:val="0"/>
                <w:szCs w:val="21"/>
                <w:highlight w:val="none"/>
                <w:u w:val="none"/>
                <w:lang w:val="en-US" w:eastAsia="zh-CN"/>
              </w:rPr>
              <w:t>9</w:t>
            </w:r>
            <w:r>
              <w:rPr>
                <w:rFonts w:hint="default" w:ascii="Times New Roman" w:hAnsi="Times New Roman" w:eastAsia="方正仿宋_GBK"/>
                <w:b/>
                <w:color w:val="000000"/>
                <w:kern w:val="0"/>
                <w:szCs w:val="21"/>
                <w:highlight w:val="none"/>
                <w:u w:val="none"/>
                <w:lang w:val="en-US" w:eastAsia="zh-CN"/>
              </w:rPr>
              <w:t>分）</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1D5121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项目</w:t>
            </w:r>
            <w:r>
              <w:rPr>
                <w:rFonts w:hint="eastAsia" w:ascii="Times New Roman" w:hAnsi="Times New Roman" w:eastAsia="方正仿宋_GBK"/>
                <w:color w:val="000000"/>
                <w:kern w:val="0"/>
                <w:szCs w:val="21"/>
                <w:highlight w:val="none"/>
                <w:u w:val="none"/>
                <w:lang w:val="en-US" w:eastAsia="zh-CN"/>
              </w:rPr>
              <w:t>管理规范性</w:t>
            </w:r>
          </w:p>
        </w:tc>
        <w:tc>
          <w:tcPr>
            <w:tcW w:w="653" w:type="dxa"/>
            <w:tcBorders>
              <w:top w:val="nil"/>
              <w:left w:val="single" w:color="000000" w:sz="4" w:space="0"/>
              <w:bottom w:val="single" w:color="000000" w:sz="4" w:space="0"/>
              <w:right w:val="single" w:color="000000" w:sz="4" w:space="0"/>
            </w:tcBorders>
            <w:noWrap w:val="0"/>
            <w:vAlign w:val="center"/>
          </w:tcPr>
          <w:p w14:paraId="787D8E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eastAsia" w:ascii="Times New Roman" w:hAnsi="Times New Roman" w:eastAsia="方正仿宋_GBK"/>
                <w:color w:val="000000"/>
                <w:kern w:val="0"/>
                <w:szCs w:val="21"/>
                <w:highlight w:val="none"/>
                <w:u w:val="none"/>
                <w:lang w:val="en-US" w:eastAsia="zh-CN"/>
              </w:rPr>
              <w:t>8</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6D2193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w:t>
            </w:r>
            <w:r>
              <w:rPr>
                <w:rFonts w:hint="eastAsia" w:ascii="Times New Roman" w:hAnsi="Times New Roman" w:eastAsia="方正仿宋_GBK"/>
                <w:color w:val="000000"/>
                <w:kern w:val="0"/>
                <w:szCs w:val="21"/>
                <w:highlight w:val="none"/>
                <w:u w:val="none"/>
                <w:lang w:val="en-US" w:eastAsia="zh-CN"/>
              </w:rPr>
              <w:t>项目管理是否符合法律法规、政策要求和内部制度</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5429384F">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8</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1F83D8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6496147F">
        <w:tblPrEx>
          <w:tblCellMar>
            <w:top w:w="0" w:type="dxa"/>
            <w:left w:w="108" w:type="dxa"/>
            <w:bottom w:w="0" w:type="dxa"/>
            <w:right w:w="108" w:type="dxa"/>
          </w:tblCellMar>
        </w:tblPrEx>
        <w:trPr>
          <w:trHeight w:val="932" w:hRule="atLeast"/>
          <w:jc w:val="center"/>
        </w:trPr>
        <w:tc>
          <w:tcPr>
            <w:tcW w:w="1105" w:type="dxa"/>
            <w:vMerge w:val="continue"/>
            <w:tcBorders>
              <w:left w:val="single" w:color="000000" w:sz="4" w:space="0"/>
              <w:right w:val="single" w:color="000000" w:sz="4" w:space="0"/>
            </w:tcBorders>
            <w:noWrap w:val="0"/>
            <w:vAlign w:val="center"/>
          </w:tcPr>
          <w:p w14:paraId="0C0702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kern w:val="0"/>
                <w:szCs w:val="21"/>
                <w:highlight w:val="none"/>
                <w:u w:val="none"/>
                <w:lang w:val="en-US" w:eastAsia="zh-CN"/>
              </w:rPr>
            </w:pPr>
          </w:p>
        </w:tc>
        <w:tc>
          <w:tcPr>
            <w:tcW w:w="1013" w:type="dxa"/>
            <w:vMerge w:val="continue"/>
            <w:tcBorders>
              <w:left w:val="single" w:color="000000" w:sz="4" w:space="0"/>
              <w:right w:val="single" w:color="000000" w:sz="4" w:space="0"/>
            </w:tcBorders>
            <w:noWrap w:val="0"/>
            <w:vAlign w:val="center"/>
          </w:tcPr>
          <w:p w14:paraId="594B16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kern w:val="0"/>
                <w:szCs w:val="21"/>
                <w:highlight w:val="none"/>
                <w:u w:val="none"/>
                <w:lang w:val="en-US" w:eastAsia="zh-CN"/>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3F8EED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kern w:val="0"/>
                <w:szCs w:val="21"/>
                <w:highlight w:val="none"/>
                <w:u w:val="none"/>
                <w:lang w:val="en-US" w:eastAsia="zh-CN"/>
              </w:rPr>
            </w:pPr>
            <w:r>
              <w:rPr>
                <w:rFonts w:hint="eastAsia" w:ascii="Times New Roman" w:hAnsi="Times New Roman" w:eastAsia="方正仿宋_GBK"/>
                <w:color w:val="000000"/>
                <w:kern w:val="0"/>
                <w:szCs w:val="21"/>
                <w:highlight w:val="none"/>
                <w:u w:val="none"/>
                <w:lang w:val="en-US" w:eastAsia="zh-CN"/>
              </w:rPr>
              <w:t>资源调配效率</w:t>
            </w:r>
          </w:p>
        </w:tc>
        <w:tc>
          <w:tcPr>
            <w:tcW w:w="653" w:type="dxa"/>
            <w:tcBorders>
              <w:top w:val="nil"/>
              <w:left w:val="single" w:color="000000" w:sz="4" w:space="0"/>
              <w:bottom w:val="single" w:color="000000" w:sz="4" w:space="0"/>
              <w:right w:val="single" w:color="000000" w:sz="4" w:space="0"/>
            </w:tcBorders>
            <w:noWrap w:val="0"/>
            <w:vAlign w:val="center"/>
          </w:tcPr>
          <w:p w14:paraId="5F495A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方正仿宋_GBK"/>
                <w:color w:val="000000"/>
                <w:kern w:val="0"/>
                <w:szCs w:val="21"/>
                <w:highlight w:val="none"/>
                <w:u w:val="none"/>
                <w:lang w:val="en-US" w:eastAsia="zh-CN"/>
              </w:rPr>
            </w:pPr>
            <w:r>
              <w:rPr>
                <w:rFonts w:hint="eastAsia" w:ascii="Times New Roman" w:hAnsi="Times New Roman" w:eastAsia="方正仿宋_GBK"/>
                <w:color w:val="000000"/>
                <w:kern w:val="0"/>
                <w:szCs w:val="21"/>
                <w:highlight w:val="none"/>
                <w:u w:val="none"/>
                <w:lang w:val="en-US" w:eastAsia="zh-CN"/>
              </w:rPr>
              <w:t>6</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048C32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方正仿宋_GBK"/>
                <w:color w:val="000000"/>
                <w:kern w:val="0"/>
                <w:szCs w:val="21"/>
                <w:highlight w:val="none"/>
                <w:u w:val="none"/>
                <w:lang w:val="en-US" w:eastAsia="zh-CN"/>
              </w:rPr>
              <w:t xml:space="preserve">人力、资金、物资等资源配置的及时性和合理性。  </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4BF3FDBF">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6</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09C99C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391CA513">
        <w:tblPrEx>
          <w:tblCellMar>
            <w:top w:w="0" w:type="dxa"/>
            <w:left w:w="108" w:type="dxa"/>
            <w:bottom w:w="0" w:type="dxa"/>
            <w:right w:w="108" w:type="dxa"/>
          </w:tblCellMar>
        </w:tblPrEx>
        <w:trPr>
          <w:trHeight w:val="932" w:hRule="atLeast"/>
          <w:jc w:val="center"/>
        </w:trPr>
        <w:tc>
          <w:tcPr>
            <w:tcW w:w="1105" w:type="dxa"/>
            <w:vMerge w:val="continue"/>
            <w:tcBorders>
              <w:left w:val="single" w:color="000000" w:sz="4" w:space="0"/>
              <w:right w:val="single" w:color="000000" w:sz="4" w:space="0"/>
            </w:tcBorders>
            <w:noWrap w:val="0"/>
            <w:vAlign w:val="center"/>
          </w:tcPr>
          <w:p w14:paraId="6BDA71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kern w:val="0"/>
                <w:szCs w:val="21"/>
                <w:highlight w:val="none"/>
                <w:u w:val="none"/>
                <w:lang w:val="en-US" w:eastAsia="zh-CN"/>
              </w:rPr>
            </w:pPr>
          </w:p>
        </w:tc>
        <w:tc>
          <w:tcPr>
            <w:tcW w:w="1013" w:type="dxa"/>
            <w:vMerge w:val="continue"/>
            <w:tcBorders>
              <w:left w:val="single" w:color="000000" w:sz="4" w:space="0"/>
              <w:bottom w:val="single" w:color="000000" w:sz="4" w:space="0"/>
              <w:right w:val="single" w:color="000000" w:sz="4" w:space="0"/>
            </w:tcBorders>
            <w:noWrap w:val="0"/>
            <w:vAlign w:val="center"/>
          </w:tcPr>
          <w:p w14:paraId="75BFE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kern w:val="0"/>
                <w:szCs w:val="21"/>
                <w:highlight w:val="none"/>
                <w:u w:val="none"/>
                <w:lang w:val="en-US" w:eastAsia="zh-CN"/>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70D634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方正仿宋_GBK"/>
                <w:color w:val="000000"/>
                <w:kern w:val="0"/>
                <w:szCs w:val="21"/>
                <w:highlight w:val="none"/>
                <w:u w:val="none"/>
                <w:lang w:val="en-US" w:eastAsia="zh-CN"/>
              </w:rPr>
              <w:t>制度执行效果</w:t>
            </w:r>
          </w:p>
        </w:tc>
        <w:tc>
          <w:tcPr>
            <w:tcW w:w="653" w:type="dxa"/>
            <w:tcBorders>
              <w:top w:val="nil"/>
              <w:left w:val="single" w:color="000000" w:sz="4" w:space="0"/>
              <w:bottom w:val="single" w:color="000000" w:sz="4" w:space="0"/>
              <w:right w:val="single" w:color="000000" w:sz="4" w:space="0"/>
            </w:tcBorders>
            <w:noWrap w:val="0"/>
            <w:vAlign w:val="center"/>
          </w:tcPr>
          <w:p w14:paraId="443F6C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方正仿宋_GBK"/>
                <w:color w:val="000000"/>
                <w:kern w:val="0"/>
                <w:szCs w:val="21"/>
                <w:highlight w:val="none"/>
                <w:u w:val="none"/>
                <w:lang w:val="en-US" w:eastAsia="zh-CN"/>
              </w:rPr>
            </w:pPr>
            <w:r>
              <w:rPr>
                <w:rFonts w:hint="eastAsia" w:ascii="Times New Roman" w:hAnsi="Times New Roman" w:eastAsia="方正仿宋_GBK"/>
                <w:color w:val="000000"/>
                <w:kern w:val="0"/>
                <w:szCs w:val="21"/>
                <w:highlight w:val="none"/>
                <w:u w:val="none"/>
                <w:lang w:val="en-US" w:eastAsia="zh-CN"/>
              </w:rPr>
              <w:t>5</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094CCE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方正仿宋_GBK"/>
                <w:color w:val="000000"/>
                <w:kern w:val="0"/>
                <w:szCs w:val="21"/>
                <w:highlight w:val="none"/>
                <w:u w:val="none"/>
                <w:lang w:val="en-US" w:eastAsia="zh-CN"/>
              </w:rPr>
              <w:t>内部管理制度的实际落地效果。</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28615441">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5</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614F95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117ABDA5">
        <w:tblPrEx>
          <w:tblCellMar>
            <w:top w:w="0" w:type="dxa"/>
            <w:left w:w="108" w:type="dxa"/>
            <w:bottom w:w="0" w:type="dxa"/>
            <w:right w:w="108" w:type="dxa"/>
          </w:tblCellMar>
        </w:tblPrEx>
        <w:trPr>
          <w:trHeight w:val="817"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366EA">
            <w:pPr>
              <w:rPr>
                <w:highlight w:val="none"/>
              </w:rPr>
            </w:pP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E77A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预算管理</w:t>
            </w:r>
            <w:r>
              <w:rPr>
                <w:rFonts w:hint="default" w:ascii="Times New Roman" w:hAnsi="Times New Roman" w:eastAsia="方正仿宋_GBK"/>
                <w:b/>
                <w:color w:val="000000"/>
                <w:kern w:val="0"/>
                <w:szCs w:val="21"/>
                <w:highlight w:val="none"/>
                <w:u w:val="none"/>
                <w:lang w:val="en-US" w:eastAsia="zh-CN"/>
              </w:rPr>
              <w:br w:type="textWrapping"/>
            </w:r>
            <w:r>
              <w:rPr>
                <w:rFonts w:hint="default" w:ascii="Times New Roman" w:hAnsi="Times New Roman" w:eastAsia="方正仿宋_GBK"/>
                <w:b/>
                <w:color w:val="000000"/>
                <w:kern w:val="0"/>
                <w:szCs w:val="21"/>
                <w:highlight w:val="none"/>
                <w:u w:val="none"/>
                <w:lang w:val="en-US" w:eastAsia="zh-CN"/>
              </w:rPr>
              <w:t>（</w:t>
            </w:r>
            <w:r>
              <w:rPr>
                <w:rFonts w:ascii="Times New Roman" w:hAnsi="Times New Roman" w:eastAsia="方正仿宋_GBK"/>
                <w:b/>
                <w:color w:val="000000"/>
                <w:kern w:val="0"/>
                <w:szCs w:val="21"/>
                <w:highlight w:val="none"/>
                <w:u w:val="none"/>
                <w:lang w:val="en-US" w:eastAsia="zh-CN"/>
              </w:rPr>
              <w:t>21</w:t>
            </w:r>
            <w:r>
              <w:rPr>
                <w:rFonts w:hint="default" w:ascii="Times New Roman" w:hAnsi="Times New Roman" w:eastAsia="方正仿宋_GBK"/>
                <w:b/>
                <w:color w:val="000000"/>
                <w:kern w:val="0"/>
                <w:szCs w:val="21"/>
                <w:highlight w:val="none"/>
                <w:u w:val="none"/>
                <w:lang w:val="en-US" w:eastAsia="zh-CN"/>
              </w:rPr>
              <w:t>分）</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5FC3AD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预算编制质量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6EEB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eastAsia"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3FE7D2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部门是否严格按要求编制年初部门预算，年初预算编制的科学性和准确性</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1EABE949">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eastAsia"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4D74BA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4939C35E">
        <w:tblPrEx>
          <w:tblCellMar>
            <w:top w:w="0" w:type="dxa"/>
            <w:left w:w="108" w:type="dxa"/>
            <w:bottom w:w="0" w:type="dxa"/>
            <w:right w:w="108" w:type="dxa"/>
          </w:tblCellMar>
        </w:tblPrEx>
        <w:trPr>
          <w:trHeight w:val="516"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B83C8">
            <w:pPr>
              <w:rPr>
                <w:highlight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DC6B2">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5926AF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支出执行进度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CE5D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eastAsia" w:ascii="Times New Roman" w:hAnsi="Times New Roman" w:eastAsia="方正仿宋_GBK"/>
                <w:color w:val="000000"/>
                <w:kern w:val="0"/>
                <w:szCs w:val="21"/>
                <w:highlight w:val="none"/>
                <w:u w:val="none"/>
                <w:lang w:val="en-US" w:eastAsia="zh-CN"/>
              </w:rPr>
              <w:t>8</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0926A5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部门1至6月、1至10月预算执行情况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583166FE">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6.</w:t>
            </w:r>
            <w:r>
              <w:rPr>
                <w:rFonts w:hint="eastAsia" w:ascii="Times New Roman" w:hAnsi="Times New Roman" w:eastAsia="宋体" w:cs="Times New Roman"/>
                <w:i w:val="0"/>
                <w:iCs w:val="0"/>
                <w:color w:val="000000"/>
                <w:kern w:val="0"/>
                <w:sz w:val="24"/>
                <w:szCs w:val="24"/>
                <w:highlight w:val="none"/>
                <w:u w:val="none"/>
                <w:lang w:val="en-US" w:eastAsia="zh-CN" w:bidi="ar"/>
              </w:rPr>
              <w:t>5</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55CE23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5160CA87">
        <w:tblPrEx>
          <w:tblCellMar>
            <w:top w:w="0" w:type="dxa"/>
            <w:left w:w="108" w:type="dxa"/>
            <w:bottom w:w="0" w:type="dxa"/>
            <w:right w:w="108" w:type="dxa"/>
          </w:tblCellMar>
        </w:tblPrEx>
        <w:trPr>
          <w:trHeight w:val="472"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670C14">
            <w:pPr>
              <w:rPr>
                <w:highlight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F627A">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5BCD88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预算年终结余</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038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eastAsia"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742B23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部门整体年终预算结余情况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08694DD6">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3B63B7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12861E54">
        <w:tblPrEx>
          <w:tblCellMar>
            <w:top w:w="0" w:type="dxa"/>
            <w:left w:w="108" w:type="dxa"/>
            <w:bottom w:w="0" w:type="dxa"/>
            <w:right w:w="108" w:type="dxa"/>
          </w:tblCellMar>
        </w:tblPrEx>
        <w:trPr>
          <w:trHeight w:val="1117"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85B58">
            <w:pPr>
              <w:rPr>
                <w:highlight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3742A">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2D3F3D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严控一般性支出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EAB9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5</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51AC70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部门严控“三公”经费、会议、培训、差旅、办节办展、办公设备购置、信息网络及软件购置更新、课题经费等8项一般性支出情况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667401B8">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5</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2FCA75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0EE57871">
        <w:tblPrEx>
          <w:tblCellMar>
            <w:top w:w="0" w:type="dxa"/>
            <w:left w:w="108" w:type="dxa"/>
            <w:bottom w:w="0" w:type="dxa"/>
            <w:right w:w="108" w:type="dxa"/>
          </w:tblCellMar>
        </w:tblPrEx>
        <w:trPr>
          <w:trHeight w:val="54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F9A6A7">
            <w:pPr>
              <w:rPr>
                <w:highlight w:val="none"/>
              </w:rPr>
            </w:pP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9450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财务管理</w:t>
            </w:r>
            <w:r>
              <w:rPr>
                <w:rFonts w:hint="default" w:ascii="Times New Roman" w:hAnsi="Times New Roman" w:eastAsia="方正仿宋_GBK"/>
                <w:b/>
                <w:color w:val="000000"/>
                <w:kern w:val="0"/>
                <w:szCs w:val="21"/>
                <w:highlight w:val="none"/>
                <w:u w:val="none"/>
                <w:lang w:val="en-US" w:eastAsia="zh-CN"/>
              </w:rPr>
              <w:br w:type="textWrapping"/>
            </w:r>
            <w:r>
              <w:rPr>
                <w:rFonts w:hint="default" w:ascii="Times New Roman" w:hAnsi="Times New Roman" w:eastAsia="方正仿宋_GBK"/>
                <w:b/>
                <w:color w:val="000000"/>
                <w:kern w:val="0"/>
                <w:szCs w:val="21"/>
                <w:highlight w:val="none"/>
                <w:u w:val="none"/>
                <w:lang w:val="en-US" w:eastAsia="zh-CN"/>
              </w:rPr>
              <w:t>（10分）</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AC14F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财务管理制度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ADC1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3D50BF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部门财务管理制度建立情况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6FDB3FA6">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7C41F0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1B9BCDC1">
        <w:tblPrEx>
          <w:tblCellMar>
            <w:top w:w="0" w:type="dxa"/>
            <w:left w:w="108" w:type="dxa"/>
            <w:bottom w:w="0" w:type="dxa"/>
            <w:right w:w="108" w:type="dxa"/>
          </w:tblCellMar>
        </w:tblPrEx>
        <w:trPr>
          <w:trHeight w:val="755"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FAEBCA">
            <w:pPr>
              <w:rPr>
                <w:highlight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B4336">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7E59BA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财务岗位设置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FC98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2</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78CF9F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部门财务岗位设置是否符合相关财务管理制度要求</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0E0F6007">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2</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3251E0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1AFB5492">
        <w:tblPrEx>
          <w:tblCellMar>
            <w:top w:w="0" w:type="dxa"/>
            <w:left w:w="108" w:type="dxa"/>
            <w:bottom w:w="0" w:type="dxa"/>
            <w:right w:w="108" w:type="dxa"/>
          </w:tblCellMar>
        </w:tblPrEx>
        <w:trPr>
          <w:trHeight w:val="679"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8C934">
            <w:pPr>
              <w:rPr>
                <w:highlight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FBF71">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50270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资金使用规范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9193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65C3A6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部门资金使用是否符合相关财务管理制度规定</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45F0CBA6">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742D63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1031AA2D">
        <w:tblPrEx>
          <w:tblCellMar>
            <w:top w:w="0" w:type="dxa"/>
            <w:left w:w="108" w:type="dxa"/>
            <w:bottom w:w="0" w:type="dxa"/>
            <w:right w:w="108" w:type="dxa"/>
          </w:tblCellMar>
        </w:tblPrEx>
        <w:trPr>
          <w:trHeight w:val="547"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320CD">
            <w:pPr>
              <w:rPr>
                <w:highlight w:val="none"/>
              </w:rPr>
            </w:pP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CCB3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资产管理</w:t>
            </w:r>
            <w:r>
              <w:rPr>
                <w:rFonts w:hint="default" w:ascii="Times New Roman" w:hAnsi="Times New Roman" w:eastAsia="方正仿宋_GBK"/>
                <w:b/>
                <w:color w:val="000000"/>
                <w:kern w:val="0"/>
                <w:szCs w:val="21"/>
                <w:highlight w:val="none"/>
                <w:u w:val="none"/>
                <w:lang w:val="en-US" w:eastAsia="zh-CN"/>
              </w:rPr>
              <w:br w:type="textWrapping"/>
            </w:r>
            <w:r>
              <w:rPr>
                <w:rFonts w:hint="default" w:ascii="Times New Roman" w:hAnsi="Times New Roman" w:eastAsia="方正仿宋_GBK"/>
                <w:b/>
                <w:color w:val="000000"/>
                <w:kern w:val="0"/>
                <w:szCs w:val="21"/>
                <w:highlight w:val="none"/>
                <w:u w:val="none"/>
                <w:lang w:val="en-US" w:eastAsia="zh-CN"/>
              </w:rPr>
              <w:t>（9分）</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50E6DD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人均资产变化率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9BFA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3</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55EAE7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部门人均资产变化情况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0F282CEC">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eastAsia" w:ascii="Times New Roman" w:hAnsi="Times New Roman" w:eastAsia="宋体" w:cs="Times New Roman"/>
                <w:i w:val="0"/>
                <w:iCs w:val="0"/>
                <w:color w:val="000000"/>
                <w:kern w:val="0"/>
                <w:sz w:val="24"/>
                <w:szCs w:val="24"/>
                <w:highlight w:val="none"/>
                <w:u w:val="none"/>
                <w:lang w:val="en-US" w:eastAsia="zh-CN" w:bidi="ar"/>
              </w:rPr>
              <w:t>0.</w:t>
            </w:r>
            <w:r>
              <w:rPr>
                <w:rFonts w:hint="default" w:ascii="Times New Roman" w:hAnsi="Times New Roman" w:eastAsia="宋体" w:cs="Times New Roman"/>
                <w:i w:val="0"/>
                <w:iCs w:val="0"/>
                <w:color w:val="000000"/>
                <w:kern w:val="0"/>
                <w:sz w:val="24"/>
                <w:szCs w:val="24"/>
                <w:highlight w:val="none"/>
                <w:u w:val="none"/>
                <w:lang w:val="en-US" w:eastAsia="zh-CN" w:bidi="ar"/>
              </w:rPr>
              <w:t>3</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3020A8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6DD87A45">
        <w:tblPrEx>
          <w:tblCellMar>
            <w:top w:w="0" w:type="dxa"/>
            <w:left w:w="108" w:type="dxa"/>
            <w:bottom w:w="0" w:type="dxa"/>
            <w:right w:w="108" w:type="dxa"/>
          </w:tblCellMar>
        </w:tblPrEx>
        <w:trPr>
          <w:trHeight w:val="597"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855C6">
            <w:pPr>
              <w:rPr>
                <w:highlight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D6E0C">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7F803A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资产利用率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A827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3</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38DC61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部门资产超最低使用年限情况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11A671EE">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35257F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26B6CE9C">
        <w:tblPrEx>
          <w:tblCellMar>
            <w:top w:w="0" w:type="dxa"/>
            <w:left w:w="108" w:type="dxa"/>
            <w:bottom w:w="0" w:type="dxa"/>
            <w:right w:w="108" w:type="dxa"/>
          </w:tblCellMar>
        </w:tblPrEx>
        <w:trPr>
          <w:trHeight w:val="51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756E8">
            <w:pPr>
              <w:rPr>
                <w:highlight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87223">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3E8D1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资产盘活率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47B5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3</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007443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部门闲置一年以上的资产盘活情况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3400180D">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035580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546708FB">
        <w:tblPrEx>
          <w:tblCellMar>
            <w:top w:w="0" w:type="dxa"/>
            <w:left w:w="108" w:type="dxa"/>
            <w:bottom w:w="0" w:type="dxa"/>
            <w:right w:w="108" w:type="dxa"/>
          </w:tblCellMar>
        </w:tblPrEx>
        <w:trPr>
          <w:trHeight w:val="679"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E7BDC">
            <w:pPr>
              <w:rPr>
                <w:highlight w:val="none"/>
              </w:rPr>
            </w:pP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E83E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采购管理</w:t>
            </w:r>
            <w:r>
              <w:rPr>
                <w:rFonts w:hint="default" w:ascii="Times New Roman" w:hAnsi="Times New Roman" w:eastAsia="方正仿宋_GBK"/>
                <w:b/>
                <w:color w:val="000000"/>
                <w:kern w:val="0"/>
                <w:szCs w:val="21"/>
                <w:highlight w:val="none"/>
                <w:u w:val="none"/>
                <w:lang w:val="en-US" w:eastAsia="zh-CN"/>
              </w:rPr>
              <w:br w:type="textWrapping"/>
            </w:r>
            <w:r>
              <w:rPr>
                <w:rFonts w:hint="default" w:ascii="Times New Roman" w:hAnsi="Times New Roman" w:eastAsia="方正仿宋_GBK"/>
                <w:b/>
                <w:color w:val="000000"/>
                <w:kern w:val="0"/>
                <w:szCs w:val="21"/>
                <w:highlight w:val="none"/>
                <w:u w:val="none"/>
                <w:lang w:val="en-US" w:eastAsia="zh-CN"/>
              </w:rPr>
              <w:t>（6分）</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28D07FB2">
            <w:pPr>
              <w:keepNext w:val="0"/>
              <w:keepLines w:val="0"/>
              <w:pageBreakBefore w:val="0"/>
              <w:widowControl/>
              <w:suppressLineNumbers w:val="0"/>
              <w:kinsoku/>
              <w:wordWrap/>
              <w:overflowPunct/>
              <w:topLinePunct w:val="0"/>
              <w:autoSpaceDE/>
              <w:autoSpaceDN/>
              <w:bidi w:val="0"/>
              <w:adjustRightInd/>
              <w:snapToGrid/>
              <w:spacing w:line="240" w:lineRule="exac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支持中小企业发展</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8DA4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3</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288D44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部门是否严格执行政府采购促进中小企业发展相关管理办法</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0DB64242">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411416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528749E9">
        <w:tblPrEx>
          <w:tblCellMar>
            <w:top w:w="0" w:type="dxa"/>
            <w:left w:w="108" w:type="dxa"/>
            <w:bottom w:w="0" w:type="dxa"/>
            <w:right w:w="108" w:type="dxa"/>
          </w:tblCellMar>
        </w:tblPrEx>
        <w:trPr>
          <w:trHeight w:val="446"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9766D1">
            <w:pPr>
              <w:rPr>
                <w:highlight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D9223B">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684F4E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采购执行率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0CBA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3</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1179D6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部门政府采购项目资金支付比例情况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316A3086">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29BE36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55778714">
        <w:tblPrEx>
          <w:tblCellMar>
            <w:top w:w="0" w:type="dxa"/>
            <w:left w:w="108" w:type="dxa"/>
            <w:bottom w:w="0" w:type="dxa"/>
            <w:right w:w="108" w:type="dxa"/>
          </w:tblCellMar>
        </w:tblPrEx>
        <w:trPr>
          <w:trHeight w:val="679" w:hRule="atLeast"/>
          <w:jc w:val="center"/>
        </w:trPr>
        <w:tc>
          <w:tcPr>
            <w:tcW w:w="1105"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297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项目绩效（35分）</w:t>
            </w:r>
          </w:p>
        </w:tc>
        <w:tc>
          <w:tcPr>
            <w:tcW w:w="1013" w:type="dxa"/>
            <w:vMerge w:val="restart"/>
            <w:tcBorders>
              <w:top w:val="single" w:color="000000" w:sz="4" w:space="0"/>
              <w:left w:val="single" w:color="000000" w:sz="4" w:space="0"/>
              <w:bottom w:val="nil"/>
              <w:right w:val="single" w:color="000000" w:sz="4" w:space="0"/>
            </w:tcBorders>
            <w:noWrap w:val="0"/>
            <w:vAlign w:val="center"/>
          </w:tcPr>
          <w:p w14:paraId="1A128D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项目决策</w:t>
            </w:r>
            <w:r>
              <w:rPr>
                <w:rFonts w:hint="default" w:ascii="Times New Roman" w:hAnsi="Times New Roman" w:eastAsia="方正仿宋_GBK"/>
                <w:b/>
                <w:color w:val="000000"/>
                <w:kern w:val="0"/>
                <w:szCs w:val="21"/>
                <w:highlight w:val="none"/>
                <w:u w:val="none"/>
                <w:lang w:val="en-US" w:eastAsia="zh-CN"/>
              </w:rPr>
              <w:br w:type="textWrapping"/>
            </w:r>
            <w:r>
              <w:rPr>
                <w:rFonts w:hint="default" w:ascii="Times New Roman" w:hAnsi="Times New Roman" w:eastAsia="方正仿宋_GBK"/>
                <w:b/>
                <w:color w:val="000000"/>
                <w:kern w:val="0"/>
                <w:szCs w:val="21"/>
                <w:highlight w:val="none"/>
                <w:u w:val="none"/>
                <w:lang w:val="en-US" w:eastAsia="zh-CN"/>
              </w:rPr>
              <w:t>（12分）</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322106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决策程序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E9D6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2270A7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部门预算项目设立是否按规定履行评估论证、申报程序</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09247F92">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577CD1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45BCE85E">
        <w:tblPrEx>
          <w:tblCellMar>
            <w:top w:w="0" w:type="dxa"/>
            <w:left w:w="108" w:type="dxa"/>
            <w:bottom w:w="0" w:type="dxa"/>
            <w:right w:w="108" w:type="dxa"/>
          </w:tblCellMar>
        </w:tblPrEx>
        <w:trPr>
          <w:trHeight w:val="1344"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6BEA59">
            <w:pPr>
              <w:rPr>
                <w:highlight w:val="none"/>
              </w:rPr>
            </w:pPr>
          </w:p>
        </w:tc>
        <w:tc>
          <w:tcPr>
            <w:tcW w:w="1013" w:type="dxa"/>
            <w:vMerge w:val="continue"/>
            <w:tcBorders>
              <w:top w:val="single" w:color="000000" w:sz="4" w:space="0"/>
              <w:left w:val="single" w:color="000000" w:sz="4" w:space="0"/>
              <w:bottom w:val="nil"/>
              <w:right w:val="single" w:color="000000" w:sz="4" w:space="0"/>
            </w:tcBorders>
            <w:noWrap w:val="0"/>
            <w:vAlign w:val="center"/>
          </w:tcPr>
          <w:p w14:paraId="38F53C07">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3B690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目标设置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A639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15D9EA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部门预算项目绩效目标与计划期内的任务量、预算安排的资金量匹配情况，绩效目标设置是否科学合理、规范完整、量化细化、预算匹配</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2BB4A544">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19F70A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763B20AC">
        <w:tblPrEx>
          <w:tblCellMar>
            <w:top w:w="0" w:type="dxa"/>
            <w:left w:w="108" w:type="dxa"/>
            <w:bottom w:w="0" w:type="dxa"/>
            <w:right w:w="108" w:type="dxa"/>
          </w:tblCellMar>
        </w:tblPrEx>
        <w:trPr>
          <w:trHeight w:val="679"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F8B1F">
            <w:pPr>
              <w:rPr>
                <w:highlight w:val="none"/>
              </w:rPr>
            </w:pPr>
          </w:p>
        </w:tc>
        <w:tc>
          <w:tcPr>
            <w:tcW w:w="1013" w:type="dxa"/>
            <w:vMerge w:val="continue"/>
            <w:tcBorders>
              <w:top w:val="single" w:color="000000" w:sz="4" w:space="0"/>
              <w:left w:val="single" w:color="000000" w:sz="4" w:space="0"/>
              <w:bottom w:val="nil"/>
              <w:right w:val="single" w:color="000000" w:sz="4" w:space="0"/>
            </w:tcBorders>
            <w:noWrap w:val="0"/>
            <w:vAlign w:val="center"/>
          </w:tcPr>
          <w:p w14:paraId="7519474B">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50CC0A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项目入库</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3799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38D402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部门预算项目是否在规定时间完成项目入库</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34BDF025">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4447E8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6B8C81AA">
        <w:tblPrEx>
          <w:tblCellMar>
            <w:top w:w="0" w:type="dxa"/>
            <w:left w:w="108" w:type="dxa"/>
            <w:bottom w:w="0" w:type="dxa"/>
            <w:right w:w="108" w:type="dxa"/>
          </w:tblCellMar>
        </w:tblPrEx>
        <w:trPr>
          <w:trHeight w:val="679"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EF68E6">
            <w:pPr>
              <w:rPr>
                <w:highlight w:val="none"/>
              </w:rPr>
            </w:pPr>
          </w:p>
        </w:tc>
        <w:tc>
          <w:tcPr>
            <w:tcW w:w="1013" w:type="dxa"/>
            <w:vMerge w:val="restart"/>
            <w:tcBorders>
              <w:top w:val="single" w:color="000000" w:sz="4" w:space="0"/>
              <w:left w:val="single" w:color="000000" w:sz="4" w:space="0"/>
              <w:bottom w:val="nil"/>
              <w:right w:val="single" w:color="000000" w:sz="4" w:space="0"/>
            </w:tcBorders>
            <w:noWrap w:val="0"/>
            <w:vAlign w:val="center"/>
          </w:tcPr>
          <w:p w14:paraId="6CC8CF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项目执行</w:t>
            </w:r>
            <w:r>
              <w:rPr>
                <w:rFonts w:hint="default" w:ascii="Times New Roman" w:hAnsi="Times New Roman" w:eastAsia="方正仿宋_GBK"/>
                <w:b/>
                <w:color w:val="000000"/>
                <w:kern w:val="0"/>
                <w:szCs w:val="21"/>
                <w:highlight w:val="none"/>
                <w:u w:val="none"/>
                <w:lang w:val="en-US" w:eastAsia="zh-CN"/>
              </w:rPr>
              <w:br w:type="textWrapping"/>
            </w:r>
            <w:r>
              <w:rPr>
                <w:rFonts w:hint="default" w:ascii="Times New Roman" w:hAnsi="Times New Roman" w:eastAsia="方正仿宋_GBK"/>
                <w:b/>
                <w:color w:val="000000"/>
                <w:kern w:val="0"/>
                <w:szCs w:val="21"/>
                <w:highlight w:val="none"/>
                <w:u w:val="none"/>
                <w:lang w:val="en-US" w:eastAsia="zh-CN"/>
              </w:rPr>
              <w:t>（12分）</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59AC3E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执行同向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9091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627D92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部门预算项目实际列支内容是否与绩效目标设置方向相符</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40A5C3CB">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6797CE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1C3B5D59">
        <w:tblPrEx>
          <w:tblCellMar>
            <w:top w:w="0" w:type="dxa"/>
            <w:left w:w="108" w:type="dxa"/>
            <w:bottom w:w="0" w:type="dxa"/>
            <w:right w:w="108" w:type="dxa"/>
          </w:tblCellMar>
        </w:tblPrEx>
        <w:trPr>
          <w:trHeight w:val="446"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019B7">
            <w:pPr>
              <w:rPr>
                <w:highlight w:val="none"/>
              </w:rPr>
            </w:pPr>
          </w:p>
        </w:tc>
        <w:tc>
          <w:tcPr>
            <w:tcW w:w="1013" w:type="dxa"/>
            <w:vMerge w:val="continue"/>
            <w:tcBorders>
              <w:top w:val="single" w:color="000000" w:sz="4" w:space="0"/>
              <w:left w:val="single" w:color="000000" w:sz="4" w:space="0"/>
              <w:bottom w:val="nil"/>
              <w:right w:val="single" w:color="000000" w:sz="4" w:space="0"/>
            </w:tcBorders>
            <w:noWrap w:val="0"/>
            <w:vAlign w:val="center"/>
          </w:tcPr>
          <w:p w14:paraId="496FFBC9">
            <w:pPr>
              <w:rPr>
                <w:highlight w:val="none"/>
              </w:rPr>
            </w:pPr>
          </w:p>
        </w:tc>
        <w:tc>
          <w:tcPr>
            <w:tcW w:w="1620" w:type="dxa"/>
            <w:tcBorders>
              <w:top w:val="single" w:color="000000" w:sz="4" w:space="0"/>
              <w:left w:val="single" w:color="000000" w:sz="4" w:space="0"/>
              <w:bottom w:val="nil"/>
              <w:right w:val="single" w:color="000000" w:sz="4" w:space="0"/>
            </w:tcBorders>
            <w:noWrap w:val="0"/>
            <w:vAlign w:val="center"/>
          </w:tcPr>
          <w:p w14:paraId="3AA536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项目调整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ABB7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14E7F0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部门预算项目是否采取对应调整措施</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677CC9F4">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1DB561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4294DA57">
        <w:tblPrEx>
          <w:tblCellMar>
            <w:top w:w="0" w:type="dxa"/>
            <w:left w:w="108" w:type="dxa"/>
            <w:bottom w:w="0" w:type="dxa"/>
            <w:right w:w="108" w:type="dxa"/>
          </w:tblCellMar>
        </w:tblPrEx>
        <w:trPr>
          <w:trHeight w:val="446"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4C108">
            <w:pPr>
              <w:rPr>
                <w:highlight w:val="none"/>
              </w:rPr>
            </w:pPr>
          </w:p>
        </w:tc>
        <w:tc>
          <w:tcPr>
            <w:tcW w:w="1013" w:type="dxa"/>
            <w:vMerge w:val="continue"/>
            <w:tcBorders>
              <w:top w:val="single" w:color="000000" w:sz="4" w:space="0"/>
              <w:left w:val="single" w:color="000000" w:sz="4" w:space="0"/>
              <w:bottom w:val="nil"/>
              <w:right w:val="single" w:color="000000" w:sz="4" w:space="0"/>
            </w:tcBorders>
            <w:noWrap w:val="0"/>
            <w:vAlign w:val="center"/>
          </w:tcPr>
          <w:p w14:paraId="7E26D023">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777034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执行结果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D10B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706BF7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部门预算项目预算执行情况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1BCA2553">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410F8B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71806926">
        <w:tblPrEx>
          <w:tblCellMar>
            <w:top w:w="0" w:type="dxa"/>
            <w:left w:w="108" w:type="dxa"/>
            <w:bottom w:w="0" w:type="dxa"/>
            <w:right w:w="108" w:type="dxa"/>
          </w:tblCellMar>
        </w:tblPrEx>
        <w:trPr>
          <w:trHeight w:val="446"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B3271">
            <w:pPr>
              <w:rPr>
                <w:highlight w:val="none"/>
              </w:rPr>
            </w:pP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33B2A1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目标实现</w:t>
            </w:r>
            <w:r>
              <w:rPr>
                <w:rFonts w:hint="default" w:ascii="Times New Roman" w:hAnsi="Times New Roman" w:eastAsia="方正仿宋_GBK"/>
                <w:b/>
                <w:color w:val="000000"/>
                <w:kern w:val="0"/>
                <w:szCs w:val="21"/>
                <w:highlight w:val="none"/>
                <w:u w:val="none"/>
                <w:lang w:val="en-US" w:eastAsia="zh-CN"/>
              </w:rPr>
              <w:br w:type="textWrapping"/>
            </w:r>
            <w:r>
              <w:rPr>
                <w:rFonts w:hint="default" w:ascii="Times New Roman" w:hAnsi="Times New Roman" w:eastAsia="方正仿宋_GBK"/>
                <w:b/>
                <w:color w:val="000000"/>
                <w:kern w:val="0"/>
                <w:szCs w:val="21"/>
                <w:highlight w:val="none"/>
                <w:u w:val="none"/>
                <w:lang w:val="en-US" w:eastAsia="zh-CN"/>
              </w:rPr>
              <w:t>（11分）</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1D5CEF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目标完成</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4A33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61D59D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部门预算项目绩效目标数量指标完成情况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09FCA5FB">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1FB595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7EFCE1C7">
        <w:tblPrEx>
          <w:tblCellMar>
            <w:top w:w="0" w:type="dxa"/>
            <w:left w:w="108" w:type="dxa"/>
            <w:bottom w:w="0" w:type="dxa"/>
            <w:right w:w="108" w:type="dxa"/>
          </w:tblCellMar>
        </w:tblPrEx>
        <w:trPr>
          <w:trHeight w:val="679"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B1E803">
            <w:pPr>
              <w:rPr>
                <w:highlight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72FAF">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096A13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目标偏离</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3901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4</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0F8B8F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部门预算项目绩效目标数量指标实现程度与预期目标的偏离情况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0E521033">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4</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256D91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5439BC74">
        <w:tblPrEx>
          <w:tblCellMar>
            <w:top w:w="0" w:type="dxa"/>
            <w:left w:w="108" w:type="dxa"/>
            <w:bottom w:w="0" w:type="dxa"/>
            <w:right w:w="108" w:type="dxa"/>
          </w:tblCellMar>
        </w:tblPrEx>
        <w:trPr>
          <w:trHeight w:val="49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D9EDA">
            <w:pPr>
              <w:rPr>
                <w:highlight w:val="none"/>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17941">
            <w:pPr>
              <w:rPr>
                <w:highlight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6ABA4C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实现效果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2E0F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3</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186DF6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部门预算项目绩效目标效益指标实施效果</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1D06F493">
            <w:pPr>
              <w:keepNext w:val="0"/>
              <w:keepLines w:val="0"/>
              <w:widowControl/>
              <w:suppressLineNumbers w:val="0"/>
              <w:jc w:val="center"/>
              <w:textAlignment w:val="center"/>
              <w:rPr>
                <w:rFonts w:hint="default" w:ascii="Times New Roman" w:hAnsi="Times New Roman" w:eastAsia="方正仿宋_GBK"/>
                <w:color w:val="000000"/>
                <w:kern w:val="0"/>
                <w:szCs w:val="21"/>
                <w:highlight w:val="none"/>
                <w:u w:val="none"/>
                <w:lang w:val="en-US" w:eastAsia="zh-CN"/>
              </w:rPr>
            </w:pPr>
            <w:r>
              <w:rPr>
                <w:rFonts w:hint="default" w:ascii="Times New Roman" w:hAnsi="Times New Roman" w:eastAsia="宋体" w:cs="Times New Roman"/>
                <w:i w:val="0"/>
                <w:iCs w:val="0"/>
                <w:color w:val="000000"/>
                <w:kern w:val="0"/>
                <w:sz w:val="24"/>
                <w:szCs w:val="24"/>
                <w:highlight w:val="none"/>
                <w:u w:val="none"/>
                <w:lang w:val="en-US" w:eastAsia="zh-CN" w:bidi="ar"/>
              </w:rPr>
              <w:t>3</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592C83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r w14:paraId="2A4F2FDC">
        <w:tblPrEx>
          <w:tblCellMar>
            <w:top w:w="0" w:type="dxa"/>
            <w:left w:w="108" w:type="dxa"/>
            <w:bottom w:w="0" w:type="dxa"/>
            <w:right w:w="108" w:type="dxa"/>
          </w:tblCellMar>
        </w:tblPrEx>
        <w:trPr>
          <w:trHeight w:val="693" w:hRule="atLeast"/>
          <w:jc w:val="center"/>
        </w:trPr>
        <w:tc>
          <w:tcPr>
            <w:tcW w:w="1105" w:type="dxa"/>
            <w:tcBorders>
              <w:top w:val="single" w:color="000000" w:sz="4" w:space="0"/>
              <w:left w:val="single" w:color="000000" w:sz="4" w:space="0"/>
              <w:bottom w:val="single" w:color="000000" w:sz="4" w:space="0"/>
              <w:right w:val="single" w:color="000000" w:sz="4" w:space="0"/>
            </w:tcBorders>
            <w:noWrap w:val="0"/>
            <w:vAlign w:val="center"/>
          </w:tcPr>
          <w:p w14:paraId="0522A3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b/>
                <w:color w:val="000000"/>
                <w:szCs w:val="21"/>
                <w:highlight w:val="none"/>
                <w:u w:val="none"/>
              </w:rPr>
            </w:pPr>
            <w:r>
              <w:rPr>
                <w:rFonts w:hint="default" w:ascii="Times New Roman" w:hAnsi="Times New Roman" w:eastAsia="方正仿宋_GBK"/>
                <w:b/>
                <w:color w:val="000000"/>
                <w:kern w:val="0"/>
                <w:szCs w:val="21"/>
                <w:highlight w:val="none"/>
                <w:u w:val="none"/>
                <w:lang w:val="en-US" w:eastAsia="zh-CN"/>
              </w:rPr>
              <w:t>扣分项</w:t>
            </w:r>
            <w:r>
              <w:rPr>
                <w:rFonts w:hint="default" w:ascii="Times New Roman" w:hAnsi="Times New Roman" w:eastAsia="方正仿宋_GBK"/>
                <w:b/>
                <w:color w:val="000000"/>
                <w:kern w:val="0"/>
                <w:szCs w:val="21"/>
                <w:highlight w:val="none"/>
                <w:u w:val="none"/>
                <w:lang w:val="en-US" w:eastAsia="zh-CN"/>
              </w:rPr>
              <w:br w:type="textWrapping"/>
            </w:r>
            <w:r>
              <w:rPr>
                <w:rFonts w:hint="default" w:ascii="Times New Roman" w:hAnsi="Times New Roman" w:eastAsia="方正仿宋_GBK"/>
                <w:b/>
                <w:color w:val="000000"/>
                <w:kern w:val="0"/>
                <w:szCs w:val="21"/>
                <w:highlight w:val="none"/>
                <w:u w:val="none"/>
                <w:lang w:val="en-US" w:eastAsia="zh-CN"/>
              </w:rPr>
              <w:t>（10分）</w:t>
            </w:r>
          </w:p>
        </w:tc>
        <w:tc>
          <w:tcPr>
            <w:tcW w:w="2633" w:type="dxa"/>
            <w:gridSpan w:val="2"/>
            <w:tcBorders>
              <w:top w:val="single" w:color="000000" w:sz="4" w:space="0"/>
              <w:left w:val="single" w:color="000000" w:sz="4" w:space="0"/>
              <w:bottom w:val="single" w:color="000000" w:sz="4" w:space="0"/>
              <w:right w:val="single" w:color="000000" w:sz="4" w:space="0"/>
            </w:tcBorders>
            <w:noWrap w:val="0"/>
            <w:vAlign w:val="center"/>
          </w:tcPr>
          <w:p w14:paraId="7918B2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被评价部门配合度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FC10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14:paraId="7431DF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szCs w:val="21"/>
                <w:highlight w:val="none"/>
                <w:u w:val="none"/>
              </w:rPr>
            </w:pPr>
            <w:r>
              <w:rPr>
                <w:rFonts w:hint="default" w:ascii="Times New Roman" w:hAnsi="Times New Roman" w:eastAsia="方正仿宋_GBK"/>
                <w:color w:val="000000"/>
                <w:kern w:val="0"/>
                <w:szCs w:val="21"/>
                <w:highlight w:val="none"/>
                <w:u w:val="none"/>
                <w:lang w:val="en-US" w:eastAsia="zh-CN"/>
              </w:rPr>
              <w:t>被评价对象工作配合情况</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3876BE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51F9B2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olor w:val="000000"/>
                <w:kern w:val="0"/>
                <w:szCs w:val="21"/>
                <w:highlight w:val="none"/>
                <w:u w:val="none"/>
                <w:lang w:val="en-US" w:eastAsia="zh-CN"/>
              </w:rPr>
            </w:pPr>
          </w:p>
        </w:tc>
      </w:tr>
    </w:tbl>
    <w:p w14:paraId="67326A53">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sz w:val="32"/>
          <w:szCs w:val="32"/>
          <w:u w:val="none"/>
          <w:lang w:val="en-US" w:eastAsia="zh-CN" w:bidi="ar"/>
        </w:rPr>
      </w:pPr>
    </w:p>
    <w:p w14:paraId="1D66E1B5">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eastAsia"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表</w:t>
      </w:r>
      <w:r>
        <w:rPr>
          <w:rFonts w:hint="eastAsia" w:eastAsia="仿宋_GB2312" w:cs="Times New Roman"/>
          <w:sz w:val="32"/>
          <w:szCs w:val="32"/>
          <w:u w:val="none"/>
          <w:lang w:val="en-US" w:eastAsia="zh-CN" w:bidi="ar"/>
        </w:rPr>
        <w:t>2</w:t>
      </w:r>
    </w:p>
    <w:p w14:paraId="365EE54E">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eastAsia="仿宋_GB2312" w:cs="Times New Roman"/>
          <w:sz w:val="32"/>
          <w:szCs w:val="32"/>
          <w:u w:val="none"/>
          <w:lang w:val="en-US" w:eastAsia="zh-CN" w:bidi="ar"/>
        </w:rPr>
      </w:pPr>
    </w:p>
    <w:tbl>
      <w:tblPr>
        <w:tblStyle w:val="3"/>
        <w:tblW w:w="8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8"/>
        <w:gridCol w:w="1069"/>
        <w:gridCol w:w="1070"/>
        <w:gridCol w:w="1639"/>
        <w:gridCol w:w="855"/>
        <w:gridCol w:w="998"/>
        <w:gridCol w:w="640"/>
        <w:gridCol w:w="499"/>
        <w:gridCol w:w="682"/>
      </w:tblGrid>
      <w:tr w14:paraId="64B8A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8300" w:type="dxa"/>
            <w:gridSpan w:val="9"/>
            <w:tcBorders>
              <w:top w:val="nil"/>
              <w:left w:val="nil"/>
              <w:bottom w:val="nil"/>
              <w:right w:val="nil"/>
            </w:tcBorders>
            <w:shd w:val="clear" w:color="auto" w:fill="auto"/>
            <w:vAlign w:val="center"/>
          </w:tcPr>
          <w:p w14:paraId="3C943861">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部门整体支出绩效目标表</w:t>
            </w:r>
          </w:p>
        </w:tc>
      </w:tr>
      <w:tr w14:paraId="0A5B9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8300" w:type="dxa"/>
            <w:gridSpan w:val="9"/>
            <w:tcBorders>
              <w:top w:val="nil"/>
              <w:left w:val="nil"/>
              <w:bottom w:val="nil"/>
              <w:right w:val="nil"/>
            </w:tcBorders>
            <w:shd w:val="clear" w:color="auto" w:fill="auto"/>
            <w:vAlign w:val="center"/>
          </w:tcPr>
          <w:p w14:paraId="17D20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w:t>
            </w:r>
          </w:p>
        </w:tc>
      </w:tr>
      <w:tr w14:paraId="4AC8B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8300" w:type="dxa"/>
            <w:gridSpan w:val="9"/>
            <w:tcBorders>
              <w:top w:val="nil"/>
              <w:left w:val="nil"/>
              <w:bottom w:val="nil"/>
              <w:right w:val="nil"/>
            </w:tcBorders>
            <w:shd w:val="clear" w:color="auto" w:fill="auto"/>
            <w:vAlign w:val="center"/>
          </w:tcPr>
          <w:p w14:paraId="3A6C264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金额单位：万元</w:t>
            </w:r>
          </w:p>
        </w:tc>
      </w:tr>
      <w:tr w14:paraId="40696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trPr>
        <w:tc>
          <w:tcPr>
            <w:tcW w:w="2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20D71">
            <w:pPr>
              <w:keepNext w:val="0"/>
              <w:keepLines w:val="0"/>
              <w:widowControl/>
              <w:suppressLineNumbers w:val="0"/>
              <w:jc w:val="center"/>
              <w:textAlignment w:val="center"/>
              <w:rPr>
                <w:rFonts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部门名称</w:t>
            </w:r>
          </w:p>
        </w:tc>
        <w:tc>
          <w:tcPr>
            <w:tcW w:w="53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7F173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巴中市光雾山诺水河文旅融合发展示范区综合行政执法局</w:t>
            </w:r>
          </w:p>
        </w:tc>
      </w:tr>
      <w:tr w14:paraId="686DA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8D8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年度部门整体支出预算</w:t>
            </w: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871A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资金总额</w:t>
            </w:r>
          </w:p>
        </w:tc>
        <w:tc>
          <w:tcPr>
            <w:tcW w:w="2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F865C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财政拨款</w:t>
            </w:r>
          </w:p>
        </w:tc>
        <w:tc>
          <w:tcPr>
            <w:tcW w:w="28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0B257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其他资金</w:t>
            </w:r>
          </w:p>
        </w:tc>
      </w:tr>
      <w:tr w14:paraId="544F9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B16E">
            <w:pPr>
              <w:jc w:val="both"/>
              <w:rPr>
                <w:rFonts w:hint="eastAsia" w:ascii="仿宋_GB2312" w:hAnsi="宋体" w:eastAsia="仿宋_GB2312" w:cs="仿宋_GB2312"/>
                <w:i w:val="0"/>
                <w:iCs w:val="0"/>
                <w:color w:val="000000"/>
                <w:sz w:val="21"/>
                <w:szCs w:val="21"/>
                <w:u w:val="none"/>
              </w:rPr>
            </w:pP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29442">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479.42</w:t>
            </w:r>
          </w:p>
        </w:tc>
        <w:tc>
          <w:tcPr>
            <w:tcW w:w="2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799B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479.42</w:t>
            </w:r>
          </w:p>
        </w:tc>
        <w:tc>
          <w:tcPr>
            <w:tcW w:w="28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8B71B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0</w:t>
            </w:r>
          </w:p>
        </w:tc>
      </w:tr>
      <w:tr w14:paraId="278A0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B66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年度总体目标</w:t>
            </w:r>
          </w:p>
        </w:tc>
        <w:tc>
          <w:tcPr>
            <w:tcW w:w="745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BC744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严格执行相关政策，保障工资及时、足额发放或社保及时、足额缴纳，预算编制科学合理，减少结余资金。2、提高预算编制质量，严格执行预算，保障单位日常运转。3、强化能力素质提升，锻造忠诚担当队伍。4、加强职工教育培训，坚定以习近平新时代中国特色社会主义思想为指导，建设一支高素质专业化执法干部队伍。</w:t>
            </w:r>
          </w:p>
        </w:tc>
      </w:tr>
      <w:tr w14:paraId="3EC52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1960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年度主要任务</w:t>
            </w: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6284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任务名称</w:t>
            </w:r>
          </w:p>
        </w:tc>
        <w:tc>
          <w:tcPr>
            <w:tcW w:w="53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0130A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主要内容</w:t>
            </w:r>
          </w:p>
        </w:tc>
      </w:tr>
      <w:tr w14:paraId="5243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7"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98FAF">
            <w:pPr>
              <w:jc w:val="center"/>
              <w:rPr>
                <w:rFonts w:hint="eastAsia" w:ascii="仿宋_GB2312" w:hAnsi="宋体" w:eastAsia="仿宋_GB2312" w:cs="仿宋_GB2312"/>
                <w:i w:val="0"/>
                <w:iCs w:val="0"/>
                <w:color w:val="000000"/>
                <w:sz w:val="21"/>
                <w:szCs w:val="21"/>
                <w:u w:val="none"/>
              </w:rPr>
            </w:pP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C32FC">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文旅区域综合执法与城乡环境管控任务</w:t>
            </w:r>
          </w:p>
        </w:tc>
        <w:tc>
          <w:tcPr>
            <w:tcW w:w="53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9E4BA6">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在五一、国庆、红叶节、避暑季等节点，联合相关部门整治欺客宰客、占道经营等市场乱象；常态化巡查保护生态资源；联动乡镇严控新增违建，查处未批先建；强化工地扬尘、渣土、噪声管控，清理破损广告店招；重大节庆全员值守保障景区秩序；扎实开展驻村帮扶，解决群众困难。</w:t>
            </w:r>
          </w:p>
        </w:tc>
      </w:tr>
      <w:tr w14:paraId="58AFE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7"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317DA">
            <w:pPr>
              <w:jc w:val="center"/>
              <w:rPr>
                <w:rFonts w:hint="eastAsia" w:ascii="仿宋_GB2312" w:hAnsi="宋体" w:eastAsia="仿宋_GB2312" w:cs="仿宋_GB2312"/>
                <w:i w:val="0"/>
                <w:iCs w:val="0"/>
                <w:color w:val="000000"/>
                <w:sz w:val="21"/>
                <w:szCs w:val="21"/>
                <w:u w:val="none"/>
              </w:rPr>
            </w:pP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6C6D3">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预算精细化编制与执行管控任务</w:t>
            </w:r>
          </w:p>
        </w:tc>
        <w:tc>
          <w:tcPr>
            <w:tcW w:w="53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F30418">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扎实开展2025年度预算编制工作，全面梳理年度项目资金支付计划、单位日常运转经费需求；定期开展预算执行情况分析，严控超预算、无预算支出，切实降低预算调整和追加频次，提升预算执行率与精准度。</w:t>
            </w:r>
          </w:p>
        </w:tc>
      </w:tr>
      <w:tr w14:paraId="3E2DF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7"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37326">
            <w:pPr>
              <w:jc w:val="center"/>
              <w:rPr>
                <w:rFonts w:hint="eastAsia" w:ascii="仿宋_GB2312" w:hAnsi="宋体" w:eastAsia="仿宋_GB2312" w:cs="仿宋_GB2312"/>
                <w:i w:val="0"/>
                <w:iCs w:val="0"/>
                <w:color w:val="000000"/>
                <w:sz w:val="21"/>
                <w:szCs w:val="21"/>
                <w:u w:val="none"/>
              </w:rPr>
            </w:pP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A03D5">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预算绩效全过程管理与整改提升任务</w:t>
            </w:r>
          </w:p>
        </w:tc>
        <w:tc>
          <w:tcPr>
            <w:tcW w:w="531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864BA9">
            <w:pPr>
              <w:keepNext w:val="0"/>
              <w:keepLines w:val="0"/>
              <w:widowControl/>
              <w:suppressLineNumbers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健全事前绩效评估、事中绩效监控、事后绩效评价、结果应用闭环管理体系，对年度所有项目和整体支出开展全覆盖绩效管理；规范绩效目标编制，持续优化绩效管理流程，确保各项绩效考评指标全面达标。</w:t>
            </w:r>
          </w:p>
        </w:tc>
      </w:tr>
      <w:tr w14:paraId="495F0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F4D7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年度绩效指标</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599E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一级指标</w:t>
            </w:r>
          </w:p>
        </w:tc>
        <w:tc>
          <w:tcPr>
            <w:tcW w:w="10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7582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二级指标</w:t>
            </w:r>
          </w:p>
        </w:tc>
        <w:tc>
          <w:tcPr>
            <w:tcW w:w="16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585C8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三级指标</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083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绩效指标</w:t>
            </w: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F88A1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绩效指标值</w:t>
            </w:r>
          </w:p>
        </w:tc>
        <w:tc>
          <w:tcPr>
            <w:tcW w:w="6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5C47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绩效度量单位</w:t>
            </w:r>
          </w:p>
        </w:tc>
        <w:tc>
          <w:tcPr>
            <w:tcW w:w="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A976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权重</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A87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实际完成</w:t>
            </w:r>
          </w:p>
        </w:tc>
      </w:tr>
      <w:tr w14:paraId="7B1CE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6577A">
            <w:pPr>
              <w:jc w:val="center"/>
              <w:rPr>
                <w:rFonts w:hint="eastAsia" w:ascii="仿宋_GB2312" w:hAnsi="宋体" w:eastAsia="仿宋_GB2312" w:cs="仿宋_GB2312"/>
                <w:i w:val="0"/>
                <w:iCs w:val="0"/>
                <w:color w:val="000000"/>
                <w:sz w:val="21"/>
                <w:szCs w:val="21"/>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D37D7">
            <w:pPr>
              <w:jc w:val="center"/>
              <w:rPr>
                <w:rFonts w:hint="eastAsia" w:ascii="仿宋_GB2312" w:hAnsi="宋体" w:eastAsia="仿宋_GB2312" w:cs="仿宋_GB2312"/>
                <w:i w:val="0"/>
                <w:iCs w:val="0"/>
                <w:color w:val="000000"/>
                <w:sz w:val="21"/>
                <w:szCs w:val="21"/>
                <w:u w:val="none"/>
              </w:rPr>
            </w:pPr>
          </w:p>
        </w:tc>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AA2C3">
            <w:pPr>
              <w:jc w:val="center"/>
              <w:rPr>
                <w:rFonts w:hint="eastAsia" w:ascii="仿宋_GB2312" w:hAnsi="宋体" w:eastAsia="仿宋_GB2312" w:cs="仿宋_GB2312"/>
                <w:i w:val="0"/>
                <w:iCs w:val="0"/>
                <w:color w:val="000000"/>
                <w:sz w:val="21"/>
                <w:szCs w:val="21"/>
                <w:u w:val="none"/>
              </w:rPr>
            </w:pPr>
          </w:p>
        </w:tc>
        <w:tc>
          <w:tcPr>
            <w:tcW w:w="1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2F23F">
            <w:pPr>
              <w:jc w:val="center"/>
              <w:rPr>
                <w:rFonts w:hint="eastAsia" w:ascii="仿宋_GB2312" w:hAnsi="宋体" w:eastAsia="仿宋_GB2312" w:cs="仿宋_GB2312"/>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4E0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性质</w:t>
            </w: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718DE">
            <w:pPr>
              <w:jc w:val="center"/>
              <w:rPr>
                <w:rFonts w:hint="eastAsia" w:ascii="仿宋_GB2312" w:hAnsi="宋体" w:eastAsia="仿宋_GB2312" w:cs="仿宋_GB2312"/>
                <w:i w:val="0"/>
                <w:iCs w:val="0"/>
                <w:color w:val="000000"/>
                <w:sz w:val="21"/>
                <w:szCs w:val="21"/>
                <w:u w:val="none"/>
              </w:rPr>
            </w:pPr>
          </w:p>
        </w:tc>
        <w:tc>
          <w:tcPr>
            <w:tcW w:w="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FFB25">
            <w:pPr>
              <w:jc w:val="center"/>
              <w:rPr>
                <w:rFonts w:hint="eastAsia" w:ascii="仿宋_GB2312" w:hAnsi="宋体" w:eastAsia="仿宋_GB2312" w:cs="仿宋_GB2312"/>
                <w:i w:val="0"/>
                <w:iCs w:val="0"/>
                <w:color w:val="000000"/>
                <w:sz w:val="21"/>
                <w:szCs w:val="21"/>
                <w:u w:val="none"/>
              </w:rPr>
            </w:pPr>
          </w:p>
        </w:tc>
        <w:tc>
          <w:tcPr>
            <w:tcW w:w="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12654">
            <w:pPr>
              <w:jc w:val="center"/>
              <w:rPr>
                <w:rFonts w:hint="eastAsia" w:ascii="仿宋_GB2312" w:hAnsi="宋体" w:eastAsia="仿宋_GB2312" w:cs="仿宋_GB2312"/>
                <w:i w:val="0"/>
                <w:iCs w:val="0"/>
                <w:color w:val="000000"/>
                <w:sz w:val="21"/>
                <w:szCs w:val="21"/>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80F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指标值</w:t>
            </w:r>
          </w:p>
        </w:tc>
      </w:tr>
      <w:tr w14:paraId="759BF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2905D">
            <w:pPr>
              <w:jc w:val="center"/>
              <w:rPr>
                <w:rFonts w:hint="eastAsia" w:ascii="仿宋_GB2312" w:hAnsi="宋体" w:eastAsia="仿宋_GB2312" w:cs="仿宋_GB2312"/>
                <w:i w:val="0"/>
                <w:iCs w:val="0"/>
                <w:color w:val="000000"/>
                <w:sz w:val="21"/>
                <w:szCs w:val="21"/>
                <w:u w:val="none"/>
              </w:rPr>
            </w:pP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20A2A5">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产出指标</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369C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数量指标</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6C8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干部队伍业务培训次数</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706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14D7">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0A86">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次</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A17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20</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8D3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w:t>
            </w:r>
          </w:p>
        </w:tc>
      </w:tr>
      <w:tr w14:paraId="6E1A6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1F2EE">
            <w:pPr>
              <w:jc w:val="center"/>
              <w:rPr>
                <w:rFonts w:hint="eastAsia" w:ascii="仿宋_GB2312" w:hAnsi="宋体" w:eastAsia="仿宋_GB2312" w:cs="仿宋_GB2312"/>
                <w:i w:val="0"/>
                <w:iCs w:val="0"/>
                <w:color w:val="000000"/>
                <w:sz w:val="21"/>
                <w:szCs w:val="21"/>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BFC0B">
            <w:pPr>
              <w:jc w:val="center"/>
              <w:rPr>
                <w:rFonts w:hint="eastAsia" w:ascii="仿宋_GB2312" w:hAnsi="宋体" w:eastAsia="仿宋_GB2312" w:cs="仿宋_GB2312"/>
                <w:i w:val="0"/>
                <w:iCs w:val="0"/>
                <w:color w:val="000000"/>
                <w:sz w:val="21"/>
                <w:szCs w:val="21"/>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FEE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质量指标</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9BC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预算编制准确率</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E90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649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95</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E3E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027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CA98">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95</w:t>
            </w:r>
          </w:p>
        </w:tc>
      </w:tr>
      <w:tr w14:paraId="0F59E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11CCC">
            <w:pPr>
              <w:jc w:val="center"/>
              <w:rPr>
                <w:rFonts w:hint="eastAsia" w:ascii="仿宋_GB2312" w:hAnsi="宋体" w:eastAsia="仿宋_GB2312" w:cs="仿宋_GB2312"/>
                <w:i w:val="0"/>
                <w:iCs w:val="0"/>
                <w:color w:val="000000"/>
                <w:sz w:val="21"/>
                <w:szCs w:val="21"/>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99059">
            <w:pPr>
              <w:jc w:val="center"/>
              <w:rPr>
                <w:rFonts w:hint="eastAsia" w:ascii="仿宋_GB2312" w:hAnsi="宋体" w:eastAsia="仿宋_GB2312" w:cs="仿宋_GB2312"/>
                <w:i w:val="0"/>
                <w:iCs w:val="0"/>
                <w:color w:val="000000"/>
                <w:sz w:val="21"/>
                <w:szCs w:val="21"/>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5EBC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质量指标</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B7F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新增违建制止处置率</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37D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ECB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A8D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065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7BA5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90</w:t>
            </w:r>
          </w:p>
        </w:tc>
      </w:tr>
      <w:tr w14:paraId="094A4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FBCEC">
            <w:pPr>
              <w:jc w:val="center"/>
              <w:rPr>
                <w:rFonts w:hint="eastAsia" w:ascii="仿宋_GB2312" w:hAnsi="宋体" w:eastAsia="仿宋_GB2312" w:cs="仿宋_GB2312"/>
                <w:i w:val="0"/>
                <w:iCs w:val="0"/>
                <w:color w:val="000000"/>
                <w:sz w:val="21"/>
                <w:szCs w:val="21"/>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3049F">
            <w:pPr>
              <w:jc w:val="center"/>
              <w:rPr>
                <w:rFonts w:hint="eastAsia" w:ascii="仿宋_GB2312" w:hAnsi="宋体" w:eastAsia="仿宋_GB2312" w:cs="仿宋_GB2312"/>
                <w:i w:val="0"/>
                <w:iCs w:val="0"/>
                <w:color w:val="000000"/>
                <w:sz w:val="21"/>
                <w:szCs w:val="21"/>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9B51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时效指标</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EDC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资金拨付及时率</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5F8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E49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07E1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A1AE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20</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8A4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100</w:t>
            </w:r>
          </w:p>
        </w:tc>
      </w:tr>
      <w:tr w14:paraId="6F5AF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6E5D5">
            <w:pPr>
              <w:jc w:val="center"/>
              <w:rPr>
                <w:rFonts w:hint="eastAsia" w:ascii="仿宋_GB2312" w:hAnsi="宋体" w:eastAsia="仿宋_GB2312" w:cs="仿宋_GB2312"/>
                <w:i w:val="0"/>
                <w:iCs w:val="0"/>
                <w:color w:val="000000"/>
                <w:sz w:val="21"/>
                <w:szCs w:val="21"/>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6F8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效益指标</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E58D">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社会效益</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44EC">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景区及城乡市容环境持续改善</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875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有效改善</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736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有效改善</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1ACF">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有效改善</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2010">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1F3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有效改善</w:t>
            </w:r>
          </w:p>
        </w:tc>
      </w:tr>
      <w:tr w14:paraId="11A2B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D2409">
            <w:pPr>
              <w:jc w:val="center"/>
              <w:rPr>
                <w:rFonts w:hint="eastAsia" w:ascii="仿宋_GB2312" w:hAnsi="宋体" w:eastAsia="仿宋_GB2312" w:cs="仿宋_GB2312"/>
                <w:i w:val="0"/>
                <w:iCs w:val="0"/>
                <w:color w:val="000000"/>
                <w:sz w:val="21"/>
                <w:szCs w:val="21"/>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EA0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满意度指标</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C5EB">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满意度指标</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1A9A">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群众、游客满意度</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5E31">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AFEE">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95</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31474">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21F9">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15</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25C3">
            <w:pPr>
              <w:keepNext w:val="0"/>
              <w:keepLines w:val="0"/>
              <w:widowControl/>
              <w:suppressLineNumbers w:val="0"/>
              <w:jc w:val="center"/>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95</w:t>
            </w:r>
          </w:p>
        </w:tc>
      </w:tr>
    </w:tbl>
    <w:p w14:paraId="7F2F7FA7">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sz w:val="32"/>
          <w:szCs w:val="32"/>
          <w:u w:val="none"/>
          <w:lang w:val="en-US" w:eastAsia="zh-CN" w:bidi="ar"/>
        </w:rPr>
      </w:pPr>
    </w:p>
    <w:p w14:paraId="5BB67340">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sz w:val="32"/>
          <w:szCs w:val="32"/>
          <w:u w:val="none"/>
          <w:lang w:val="en-US" w:eastAsia="zh-CN" w:bidi="ar"/>
        </w:rPr>
      </w:pPr>
    </w:p>
    <w:p w14:paraId="08C96859">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sz w:val="32"/>
          <w:szCs w:val="32"/>
          <w:u w:val="none"/>
          <w:lang w:val="en-US" w:eastAsia="zh-CN" w:bidi="ar"/>
        </w:rPr>
      </w:pPr>
    </w:p>
    <w:p w14:paraId="3951B556">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sz w:val="32"/>
          <w:szCs w:val="32"/>
          <w:u w:val="none"/>
          <w:lang w:val="en-US" w:eastAsia="zh-CN" w:bidi="ar"/>
        </w:rPr>
      </w:pPr>
    </w:p>
    <w:p w14:paraId="5C6B1223">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sz w:val="32"/>
          <w:szCs w:val="32"/>
          <w:u w:val="none"/>
          <w:lang w:val="en-US" w:eastAsia="zh-CN" w:bidi="ar"/>
        </w:rPr>
        <w:sectPr>
          <w:pgSz w:w="11906" w:h="16838"/>
          <w:pgMar w:top="1440" w:right="1800" w:bottom="1440" w:left="1800" w:header="851" w:footer="992" w:gutter="0"/>
          <w:cols w:space="425" w:num="1"/>
          <w:docGrid w:type="lines" w:linePitch="312" w:charSpace="0"/>
        </w:sectPr>
      </w:pPr>
    </w:p>
    <w:p w14:paraId="71746086">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eastAsia"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表</w:t>
      </w:r>
      <w:r>
        <w:rPr>
          <w:rFonts w:hint="eastAsia" w:eastAsia="仿宋_GB2312" w:cs="Times New Roman"/>
          <w:sz w:val="32"/>
          <w:szCs w:val="32"/>
          <w:u w:val="none"/>
          <w:lang w:val="en-US" w:eastAsia="zh-CN" w:bidi="ar"/>
        </w:rPr>
        <w:t>3</w:t>
      </w:r>
    </w:p>
    <w:tbl>
      <w:tblPr>
        <w:tblStyle w:val="3"/>
        <w:tblW w:w="140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9"/>
        <w:gridCol w:w="833"/>
        <w:gridCol w:w="367"/>
        <w:gridCol w:w="400"/>
        <w:gridCol w:w="2700"/>
        <w:gridCol w:w="1700"/>
        <w:gridCol w:w="3500"/>
        <w:gridCol w:w="3083"/>
        <w:gridCol w:w="579"/>
      </w:tblGrid>
      <w:tr w14:paraId="1F606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4" w:hRule="atLeast"/>
        </w:trPr>
        <w:tc>
          <w:tcPr>
            <w:tcW w:w="14081" w:type="dxa"/>
            <w:gridSpan w:val="9"/>
            <w:tcBorders>
              <w:top w:val="nil"/>
              <w:left w:val="nil"/>
              <w:bottom w:val="nil"/>
              <w:right w:val="nil"/>
            </w:tcBorders>
            <w:shd w:val="clear" w:color="auto" w:fill="auto"/>
            <w:vAlign w:val="center"/>
          </w:tcPr>
          <w:p w14:paraId="79E76458">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部门预算（整体）绩效评价指标体系</w:t>
            </w:r>
          </w:p>
        </w:tc>
      </w:tr>
      <w:tr w14:paraId="4A175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5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9096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5"/>
                <w:lang w:val="en-US" w:eastAsia="zh-CN" w:bidi="ar"/>
              </w:rPr>
              <w:t>绩效评价指标</w:t>
            </w:r>
            <w:r>
              <w:rPr>
                <w:rStyle w:val="6"/>
                <w:rFonts w:eastAsia="宋体"/>
                <w:lang w:val="en-US" w:eastAsia="zh-CN" w:bidi="ar"/>
              </w:rPr>
              <w:br w:type="textWrapping"/>
            </w:r>
            <w:r>
              <w:rPr>
                <w:rStyle w:val="5"/>
                <w:lang w:val="en-US" w:eastAsia="zh-CN" w:bidi="ar"/>
              </w:rPr>
              <w:t>指标分值</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9ECC9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指标解释</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760B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评分方法</w:t>
            </w:r>
          </w:p>
        </w:tc>
        <w:tc>
          <w:tcPr>
            <w:tcW w:w="3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A2283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评分说明</w:t>
            </w:r>
          </w:p>
        </w:tc>
        <w:tc>
          <w:tcPr>
            <w:tcW w:w="30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59EE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评分计算过程</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CE38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自评得分</w:t>
            </w:r>
          </w:p>
        </w:tc>
      </w:tr>
      <w:tr w14:paraId="7E380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9" w:type="dxa"/>
            <w:tcBorders>
              <w:top w:val="single" w:color="000000" w:sz="4" w:space="0"/>
              <w:left w:val="single" w:color="000000" w:sz="4" w:space="0"/>
              <w:bottom w:val="single" w:color="000000" w:sz="4" w:space="0"/>
              <w:right w:val="nil"/>
            </w:tcBorders>
            <w:shd w:val="clear" w:color="auto" w:fill="auto"/>
            <w:vAlign w:val="center"/>
          </w:tcPr>
          <w:p w14:paraId="3BC192A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833" w:type="dxa"/>
            <w:tcBorders>
              <w:top w:val="single" w:color="000000" w:sz="4" w:space="0"/>
              <w:left w:val="single" w:color="000000" w:sz="4" w:space="0"/>
              <w:bottom w:val="single" w:color="auto" w:sz="4" w:space="0"/>
              <w:right w:val="single" w:color="000000" w:sz="4" w:space="0"/>
            </w:tcBorders>
            <w:shd w:val="clear" w:color="auto" w:fill="auto"/>
            <w:vAlign w:val="center"/>
          </w:tcPr>
          <w:p w14:paraId="4C91A9A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67" w:type="dxa"/>
            <w:tcBorders>
              <w:top w:val="single" w:color="000000" w:sz="4" w:space="0"/>
              <w:left w:val="single" w:color="000000" w:sz="4" w:space="0"/>
              <w:bottom w:val="single" w:color="auto" w:sz="4" w:space="0"/>
              <w:right w:val="single" w:color="000000" w:sz="4" w:space="0"/>
            </w:tcBorders>
            <w:shd w:val="clear" w:color="auto" w:fill="auto"/>
            <w:vAlign w:val="center"/>
          </w:tcPr>
          <w:p w14:paraId="178DB4E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400" w:type="dxa"/>
            <w:tcBorders>
              <w:top w:val="single" w:color="000000" w:sz="4" w:space="0"/>
              <w:left w:val="single" w:color="000000" w:sz="4" w:space="0"/>
              <w:bottom w:val="single" w:color="auto" w:sz="4" w:space="0"/>
              <w:right w:val="single" w:color="000000" w:sz="4" w:space="0"/>
            </w:tcBorders>
            <w:shd w:val="clear" w:color="auto" w:fill="auto"/>
            <w:vAlign w:val="center"/>
          </w:tcPr>
          <w:p w14:paraId="19BE3D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5"/>
                <w:lang w:val="en-US" w:eastAsia="zh-CN" w:bidi="ar"/>
              </w:rPr>
              <w:t>指标</w:t>
            </w:r>
            <w:r>
              <w:rPr>
                <w:rStyle w:val="6"/>
                <w:rFonts w:eastAsia="宋体"/>
                <w:lang w:val="en-US" w:eastAsia="zh-CN" w:bidi="ar"/>
              </w:rPr>
              <w:br w:type="textWrapping"/>
            </w:r>
            <w:r>
              <w:rPr>
                <w:rStyle w:val="5"/>
                <w:lang w:val="en-US" w:eastAsia="zh-CN" w:bidi="ar"/>
              </w:rPr>
              <w:t>分值</w:t>
            </w:r>
          </w:p>
        </w:tc>
        <w:tc>
          <w:tcPr>
            <w:tcW w:w="270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20DF059">
            <w:pPr>
              <w:jc w:val="center"/>
              <w:rPr>
                <w:rFonts w:hint="eastAsia" w:ascii="黑体" w:hAnsi="宋体" w:eastAsia="黑体" w:cs="黑体"/>
                <w:i w:val="0"/>
                <w:iCs w:val="0"/>
                <w:color w:val="000000"/>
                <w:sz w:val="24"/>
                <w:szCs w:val="24"/>
                <w:u w:val="none"/>
              </w:rPr>
            </w:pPr>
          </w:p>
        </w:tc>
        <w:tc>
          <w:tcPr>
            <w:tcW w:w="170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8CF734F">
            <w:pPr>
              <w:jc w:val="center"/>
              <w:rPr>
                <w:rFonts w:hint="eastAsia" w:ascii="黑体" w:hAnsi="宋体" w:eastAsia="黑体" w:cs="黑体"/>
                <w:i w:val="0"/>
                <w:iCs w:val="0"/>
                <w:color w:val="000000"/>
                <w:sz w:val="24"/>
                <w:szCs w:val="24"/>
                <w:u w:val="none"/>
              </w:rPr>
            </w:pPr>
          </w:p>
        </w:tc>
        <w:tc>
          <w:tcPr>
            <w:tcW w:w="350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12728EAF">
            <w:pPr>
              <w:jc w:val="center"/>
              <w:rPr>
                <w:rFonts w:hint="eastAsia" w:ascii="黑体" w:hAnsi="宋体" w:eastAsia="黑体" w:cs="黑体"/>
                <w:i w:val="0"/>
                <w:iCs w:val="0"/>
                <w:color w:val="000000"/>
                <w:sz w:val="24"/>
                <w:szCs w:val="24"/>
                <w:u w:val="none"/>
              </w:rPr>
            </w:pPr>
          </w:p>
        </w:tc>
        <w:tc>
          <w:tcPr>
            <w:tcW w:w="308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71E920ED">
            <w:pPr>
              <w:jc w:val="center"/>
              <w:rPr>
                <w:rFonts w:hint="eastAsia" w:ascii="黑体" w:hAnsi="宋体" w:eastAsia="黑体" w:cs="黑体"/>
                <w:i w:val="0"/>
                <w:iCs w:val="0"/>
                <w:color w:val="000000"/>
                <w:sz w:val="24"/>
                <w:szCs w:val="24"/>
                <w:u w:val="none"/>
              </w:rPr>
            </w:pPr>
          </w:p>
        </w:tc>
        <w:tc>
          <w:tcPr>
            <w:tcW w:w="579"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17814AF">
            <w:pPr>
              <w:jc w:val="center"/>
              <w:rPr>
                <w:rFonts w:hint="eastAsia" w:ascii="黑体" w:hAnsi="宋体" w:eastAsia="黑体" w:cs="黑体"/>
                <w:i w:val="0"/>
                <w:iCs w:val="0"/>
                <w:color w:val="000000"/>
                <w:sz w:val="24"/>
                <w:szCs w:val="24"/>
                <w:u w:val="none"/>
              </w:rPr>
            </w:pPr>
          </w:p>
        </w:tc>
      </w:tr>
      <w:tr w14:paraId="72856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0" w:hRule="atLeast"/>
        </w:trPr>
        <w:tc>
          <w:tcPr>
            <w:tcW w:w="919"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373EB32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总体绩效</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65</w:t>
            </w:r>
            <w:r>
              <w:rPr>
                <w:rStyle w:val="7"/>
                <w:lang w:val="en-US" w:eastAsia="zh-CN" w:bidi="ar"/>
              </w:rPr>
              <w:t>分）</w:t>
            </w:r>
          </w:p>
        </w:tc>
        <w:tc>
          <w:tcPr>
            <w:tcW w:w="8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0DA39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履职效能</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19</w:t>
            </w:r>
            <w:r>
              <w:rPr>
                <w:rStyle w:val="7"/>
                <w:lang w:val="en-US" w:eastAsia="zh-CN" w:bidi="ar"/>
              </w:rPr>
              <w:t>分）</w:t>
            </w:r>
          </w:p>
        </w:tc>
        <w:tc>
          <w:tcPr>
            <w:tcW w:w="367" w:type="dxa"/>
            <w:tcBorders>
              <w:top w:val="single" w:color="auto" w:sz="4" w:space="0"/>
              <w:left w:val="single" w:color="auto" w:sz="4" w:space="0"/>
              <w:bottom w:val="single" w:color="auto" w:sz="4" w:space="0"/>
              <w:right w:val="single" w:color="auto" w:sz="4" w:space="0"/>
            </w:tcBorders>
            <w:shd w:val="clear" w:color="auto" w:fill="auto"/>
            <w:vAlign w:val="center"/>
          </w:tcPr>
          <w:p w14:paraId="2E89A5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项目管理规范性</w:t>
            </w:r>
          </w:p>
        </w:tc>
        <w:tc>
          <w:tcPr>
            <w:tcW w:w="400" w:type="dxa"/>
            <w:tcBorders>
              <w:top w:val="single" w:color="auto" w:sz="4" w:space="0"/>
              <w:left w:val="single" w:color="auto" w:sz="4" w:space="0"/>
              <w:bottom w:val="single" w:color="auto" w:sz="4" w:space="0"/>
              <w:right w:val="single" w:color="auto" w:sz="4" w:space="0"/>
            </w:tcBorders>
            <w:shd w:val="clear" w:color="auto" w:fill="auto"/>
            <w:vAlign w:val="center"/>
          </w:tcPr>
          <w:p w14:paraId="57237A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2700" w:type="dxa"/>
            <w:tcBorders>
              <w:top w:val="single" w:color="auto" w:sz="4" w:space="0"/>
              <w:left w:val="single" w:color="auto" w:sz="4" w:space="0"/>
              <w:bottom w:val="single" w:color="auto" w:sz="4" w:space="0"/>
              <w:right w:val="single" w:color="auto" w:sz="4" w:space="0"/>
            </w:tcBorders>
            <w:shd w:val="clear" w:color="auto" w:fill="auto"/>
            <w:vAlign w:val="center"/>
          </w:tcPr>
          <w:p w14:paraId="7DF4D84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部门项目管理是否符合法律法规、政策要求和内部制度</w:t>
            </w:r>
          </w:p>
        </w:tc>
        <w:tc>
          <w:tcPr>
            <w:tcW w:w="17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0274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auto" w:sz="4" w:space="0"/>
              <w:left w:val="single" w:color="auto" w:sz="4" w:space="0"/>
              <w:bottom w:val="single" w:color="auto" w:sz="4" w:space="0"/>
              <w:right w:val="single" w:color="auto" w:sz="4" w:space="0"/>
            </w:tcBorders>
            <w:shd w:val="clear" w:color="auto" w:fill="auto"/>
            <w:vAlign w:val="center"/>
          </w:tcPr>
          <w:p w14:paraId="1F44A2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目标指：制度执行合规率≥95%</w:t>
            </w:r>
          </w:p>
        </w:tc>
        <w:tc>
          <w:tcPr>
            <w:tcW w:w="308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3F1A60">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14:paraId="60049E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r>
      <w:tr w14:paraId="44C52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7" w:hRule="atLeast"/>
        </w:trPr>
        <w:tc>
          <w:tcPr>
            <w:tcW w:w="919"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F981A45">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14817AFC">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auto" w:sz="4" w:space="0"/>
              <w:left w:val="single" w:color="000000" w:sz="4" w:space="0"/>
              <w:bottom w:val="single" w:color="000000" w:sz="4" w:space="0"/>
              <w:right w:val="single" w:color="000000" w:sz="4" w:space="0"/>
            </w:tcBorders>
            <w:shd w:val="clear" w:color="auto" w:fill="auto"/>
            <w:vAlign w:val="center"/>
          </w:tcPr>
          <w:p w14:paraId="72CAF6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资源调配效率</w:t>
            </w:r>
          </w:p>
        </w:tc>
        <w:tc>
          <w:tcPr>
            <w:tcW w:w="400" w:type="dxa"/>
            <w:tcBorders>
              <w:top w:val="single" w:color="auto" w:sz="4" w:space="0"/>
              <w:left w:val="single" w:color="000000" w:sz="4" w:space="0"/>
              <w:bottom w:val="single" w:color="000000" w:sz="4" w:space="0"/>
              <w:right w:val="single" w:color="000000" w:sz="4" w:space="0"/>
            </w:tcBorders>
            <w:shd w:val="clear" w:color="auto" w:fill="auto"/>
            <w:vAlign w:val="center"/>
          </w:tcPr>
          <w:p w14:paraId="3F4FA2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2700" w:type="dxa"/>
            <w:tcBorders>
              <w:top w:val="single" w:color="auto" w:sz="4" w:space="0"/>
              <w:left w:val="single" w:color="000000" w:sz="4" w:space="0"/>
              <w:bottom w:val="single" w:color="000000" w:sz="4" w:space="0"/>
              <w:right w:val="single" w:color="000000" w:sz="4" w:space="0"/>
            </w:tcBorders>
            <w:shd w:val="clear" w:color="auto" w:fill="auto"/>
            <w:vAlign w:val="center"/>
          </w:tcPr>
          <w:p w14:paraId="258FFE5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人力、资金、物资等资源配置的及时性和合理性。</w:t>
            </w:r>
          </w:p>
        </w:tc>
        <w:tc>
          <w:tcPr>
            <w:tcW w:w="1700"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2B34CD5B">
            <w:pPr>
              <w:jc w:val="center"/>
              <w:rPr>
                <w:rFonts w:hint="eastAsia" w:ascii="宋体" w:hAnsi="宋体" w:eastAsia="宋体" w:cs="宋体"/>
                <w:i w:val="0"/>
                <w:iCs w:val="0"/>
                <w:color w:val="000000"/>
                <w:sz w:val="24"/>
                <w:szCs w:val="24"/>
                <w:u w:val="none"/>
              </w:rPr>
            </w:pPr>
          </w:p>
        </w:tc>
        <w:tc>
          <w:tcPr>
            <w:tcW w:w="3500" w:type="dxa"/>
            <w:tcBorders>
              <w:top w:val="single" w:color="auto" w:sz="4" w:space="0"/>
              <w:left w:val="single" w:color="000000" w:sz="4" w:space="0"/>
              <w:bottom w:val="single" w:color="000000" w:sz="4" w:space="0"/>
              <w:right w:val="single" w:color="000000" w:sz="4" w:space="0"/>
            </w:tcBorders>
            <w:shd w:val="clear" w:color="auto" w:fill="auto"/>
            <w:vAlign w:val="center"/>
          </w:tcPr>
          <w:p w14:paraId="23310C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目标指：资金到位及时率≥90%，人员到岗率≥95%。  </w:t>
            </w:r>
          </w:p>
        </w:tc>
        <w:tc>
          <w:tcPr>
            <w:tcW w:w="3083"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109EF8B">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auto" w:sz="4" w:space="0"/>
              <w:left w:val="single" w:color="000000" w:sz="4" w:space="0"/>
              <w:bottom w:val="single" w:color="000000" w:sz="4" w:space="0"/>
              <w:right w:val="single" w:color="000000" w:sz="4" w:space="0"/>
            </w:tcBorders>
            <w:shd w:val="clear" w:color="auto" w:fill="auto"/>
            <w:vAlign w:val="center"/>
          </w:tcPr>
          <w:p w14:paraId="7F44368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r>
      <w:tr w14:paraId="7769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8" w:hRule="atLeast"/>
        </w:trPr>
        <w:tc>
          <w:tcPr>
            <w:tcW w:w="919"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C6F1D5E">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049A3DB6">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5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制度执行效果</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CD2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D630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内部管理制度（如资产管理办法、考核机制）的实际落地效果。</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4BEC8">
            <w:pPr>
              <w:jc w:val="center"/>
              <w:rPr>
                <w:rFonts w:hint="eastAsia" w:ascii="宋体" w:hAnsi="宋体" w:eastAsia="宋体" w:cs="宋体"/>
                <w:i w:val="0"/>
                <w:iCs w:val="0"/>
                <w:color w:val="000000"/>
                <w:sz w:val="24"/>
                <w:szCs w:val="24"/>
                <w:u w:val="none"/>
              </w:rPr>
            </w:pP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54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制度覆盖率100%，考核达标率≥90%。  </w:t>
            </w:r>
          </w:p>
        </w:tc>
        <w:tc>
          <w:tcPr>
            <w:tcW w:w="3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97E58">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53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r>
      <w:tr w14:paraId="75497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E297D">
            <w:pPr>
              <w:jc w:val="center"/>
              <w:rPr>
                <w:rFonts w:hint="default" w:ascii="Times New Roman" w:hAnsi="Times New Roman" w:eastAsia="宋体" w:cs="Times New Roman"/>
                <w:b/>
                <w:bCs/>
                <w:i w:val="0"/>
                <w:iCs w:val="0"/>
                <w:color w:val="000000"/>
                <w:sz w:val="24"/>
                <w:szCs w:val="24"/>
                <w:u w:val="none"/>
              </w:rPr>
            </w:pP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358A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预算管理</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21</w:t>
            </w:r>
            <w:r>
              <w:rPr>
                <w:rStyle w:val="7"/>
                <w:lang w:val="en-US" w:eastAsia="zh-CN" w:bidi="ar"/>
              </w:rPr>
              <w:t>分）</w:t>
            </w: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7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预算编制质量</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5FF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F93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部门是否严格按要求编制年初部门预算，年初预算编制的科学性和准确性</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5D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212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9"/>
                <w:lang w:val="en-US" w:eastAsia="zh-CN" w:bidi="ar"/>
              </w:rPr>
              <w:t>该项指标得分</w:t>
            </w:r>
            <w:r>
              <w:rPr>
                <w:rStyle w:val="6"/>
                <w:rFonts w:eastAsia="宋体"/>
                <w:lang w:val="en-US" w:eastAsia="zh-CN" w:bidi="ar"/>
              </w:rPr>
              <w:t>=</w:t>
            </w:r>
            <w:r>
              <w:rPr>
                <w:rStyle w:val="9"/>
                <w:lang w:val="en-US" w:eastAsia="zh-CN" w:bidi="ar"/>
              </w:rPr>
              <w:t>（</w:t>
            </w:r>
            <w:r>
              <w:rPr>
                <w:rStyle w:val="6"/>
                <w:rFonts w:eastAsia="宋体"/>
                <w:lang w:val="en-US" w:eastAsia="zh-CN" w:bidi="ar"/>
              </w:rPr>
              <w:t>1-</w:t>
            </w:r>
            <w:r>
              <w:rPr>
                <w:rStyle w:val="9"/>
                <w:lang w:val="en-US" w:eastAsia="zh-CN" w:bidi="ar"/>
              </w:rPr>
              <w:t>财政拨款预算偏离度）</w:t>
            </w:r>
            <w:r>
              <w:rPr>
                <w:rStyle w:val="6"/>
                <w:rFonts w:eastAsia="宋体"/>
                <w:lang w:val="en-US" w:eastAsia="zh-CN" w:bidi="ar"/>
              </w:rPr>
              <w:t>×100%×</w:t>
            </w:r>
            <w:r>
              <w:rPr>
                <w:rStyle w:val="9"/>
                <w:lang w:val="en-US" w:eastAsia="zh-CN" w:bidi="ar"/>
              </w:rPr>
              <w:t>8。偏离度</w:t>
            </w:r>
            <w:r>
              <w:rPr>
                <w:rStyle w:val="6"/>
                <w:rFonts w:eastAsia="宋体"/>
                <w:lang w:val="en-US" w:eastAsia="zh-CN" w:bidi="ar"/>
              </w:rPr>
              <w:t>=|</w:t>
            </w:r>
            <w:r>
              <w:rPr>
                <w:rStyle w:val="9"/>
                <w:lang w:val="en-US" w:eastAsia="zh-CN" w:bidi="ar"/>
              </w:rPr>
              <w:t>预算执行数</w:t>
            </w:r>
            <w:r>
              <w:rPr>
                <w:rStyle w:val="6"/>
                <w:rFonts w:eastAsia="宋体"/>
                <w:lang w:val="en-US" w:eastAsia="zh-CN" w:bidi="ar"/>
              </w:rPr>
              <w:t>-</w:t>
            </w:r>
            <w:r>
              <w:rPr>
                <w:rStyle w:val="9"/>
                <w:lang w:val="en-US" w:eastAsia="zh-CN" w:bidi="ar"/>
              </w:rPr>
              <w:t>年初预算数</w:t>
            </w:r>
            <w:r>
              <w:rPr>
                <w:rStyle w:val="6"/>
                <w:rFonts w:eastAsia="宋体"/>
                <w:lang w:val="en-US" w:eastAsia="zh-CN" w:bidi="ar"/>
              </w:rPr>
              <w:t>|÷</w:t>
            </w:r>
            <w:r>
              <w:rPr>
                <w:rStyle w:val="9"/>
                <w:lang w:val="en-US" w:eastAsia="zh-CN" w:bidi="ar"/>
              </w:rPr>
              <w:t>年初预算数。</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96A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偏离度=(479.42-453.04)/453.04)=0.06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该项指标得分=(1-0.06)*100%*8=7.53</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0CA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6F75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7F9AD">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46AFF">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29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支出执行进度</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8F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454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部门</w:t>
            </w:r>
            <w:r>
              <w:rPr>
                <w:rStyle w:val="6"/>
                <w:rFonts w:eastAsia="宋体"/>
                <w:lang w:val="en-US" w:eastAsia="zh-CN" w:bidi="ar"/>
              </w:rPr>
              <w:t>1</w:t>
            </w:r>
            <w:r>
              <w:rPr>
                <w:rStyle w:val="9"/>
                <w:lang w:val="en-US" w:eastAsia="zh-CN" w:bidi="ar"/>
              </w:rPr>
              <w:t>至</w:t>
            </w:r>
            <w:r>
              <w:rPr>
                <w:rStyle w:val="6"/>
                <w:rFonts w:eastAsia="宋体"/>
                <w:lang w:val="en-US" w:eastAsia="zh-CN" w:bidi="ar"/>
              </w:rPr>
              <w:t>6</w:t>
            </w:r>
            <w:r>
              <w:rPr>
                <w:rStyle w:val="9"/>
                <w:lang w:val="en-US" w:eastAsia="zh-CN" w:bidi="ar"/>
              </w:rPr>
              <w:t>月、</w:t>
            </w:r>
            <w:r>
              <w:rPr>
                <w:rStyle w:val="6"/>
                <w:rFonts w:eastAsia="宋体"/>
                <w:lang w:val="en-US" w:eastAsia="zh-CN" w:bidi="ar"/>
              </w:rPr>
              <w:t>1</w:t>
            </w:r>
            <w:r>
              <w:rPr>
                <w:rStyle w:val="9"/>
                <w:lang w:val="en-US" w:eastAsia="zh-CN" w:bidi="ar"/>
              </w:rPr>
              <w:t>至</w:t>
            </w:r>
            <w:r>
              <w:rPr>
                <w:rStyle w:val="6"/>
                <w:rFonts w:eastAsia="宋体"/>
                <w:lang w:val="en-US" w:eastAsia="zh-CN" w:bidi="ar"/>
              </w:rPr>
              <w:t>10</w:t>
            </w:r>
            <w:r>
              <w:rPr>
                <w:rStyle w:val="9"/>
                <w:lang w:val="en-US" w:eastAsia="zh-CN" w:bidi="ar"/>
              </w:rPr>
              <w:t>月预算执行情况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8A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677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9"/>
                <w:lang w:val="en-US" w:eastAsia="zh-CN" w:bidi="ar"/>
              </w:rPr>
              <w:t>该项指标得分</w:t>
            </w:r>
            <w:r>
              <w:rPr>
                <w:rStyle w:val="6"/>
                <w:rFonts w:eastAsia="宋体"/>
                <w:lang w:val="en-US" w:eastAsia="zh-CN" w:bidi="ar"/>
              </w:rPr>
              <w:t>=</w:t>
            </w:r>
            <w:r>
              <w:rPr>
                <w:rStyle w:val="9"/>
                <w:lang w:val="en-US" w:eastAsia="zh-CN" w:bidi="ar"/>
              </w:rPr>
              <w:t>（</w:t>
            </w:r>
            <w:r>
              <w:rPr>
                <w:rStyle w:val="6"/>
                <w:rFonts w:eastAsia="宋体"/>
                <w:lang w:val="en-US" w:eastAsia="zh-CN" w:bidi="ar"/>
              </w:rPr>
              <w:t>1</w:t>
            </w:r>
            <w:r>
              <w:rPr>
                <w:rStyle w:val="9"/>
                <w:lang w:val="en-US" w:eastAsia="zh-CN" w:bidi="ar"/>
              </w:rPr>
              <w:t>至</w:t>
            </w:r>
            <w:r>
              <w:rPr>
                <w:rStyle w:val="6"/>
                <w:rFonts w:eastAsia="宋体"/>
                <w:lang w:val="en-US" w:eastAsia="zh-CN" w:bidi="ar"/>
              </w:rPr>
              <w:t>6</w:t>
            </w:r>
            <w:r>
              <w:rPr>
                <w:rStyle w:val="9"/>
                <w:lang w:val="en-US" w:eastAsia="zh-CN" w:bidi="ar"/>
              </w:rPr>
              <w:t>月预算执行数</w:t>
            </w:r>
            <w:r>
              <w:rPr>
                <w:rStyle w:val="6"/>
                <w:rFonts w:eastAsia="宋体"/>
                <w:lang w:val="en-US" w:eastAsia="zh-CN" w:bidi="ar"/>
              </w:rPr>
              <w:t>÷</w:t>
            </w:r>
            <w:r>
              <w:rPr>
                <w:rStyle w:val="9"/>
                <w:lang w:val="en-US" w:eastAsia="zh-CN" w:bidi="ar"/>
              </w:rPr>
              <w:t>（部门预算数</w:t>
            </w:r>
            <w:r>
              <w:rPr>
                <w:rStyle w:val="6"/>
                <w:rFonts w:eastAsia="宋体"/>
                <w:lang w:val="en-US" w:eastAsia="zh-CN" w:bidi="ar"/>
              </w:rPr>
              <w:t>×50%</w:t>
            </w:r>
            <w:r>
              <w:rPr>
                <w:rStyle w:val="9"/>
                <w:lang w:val="en-US" w:eastAsia="zh-CN" w:bidi="ar"/>
              </w:rPr>
              <w:t>）</w:t>
            </w:r>
            <w:r>
              <w:rPr>
                <w:rStyle w:val="6"/>
                <w:rFonts w:eastAsia="宋体"/>
                <w:lang w:val="en-US" w:eastAsia="zh-CN" w:bidi="ar"/>
              </w:rPr>
              <w:t>×</w:t>
            </w:r>
            <w:r>
              <w:rPr>
                <w:rStyle w:val="9"/>
                <w:lang w:val="en-US" w:eastAsia="zh-CN" w:bidi="ar"/>
              </w:rPr>
              <w:t>2）</w:t>
            </w:r>
            <w:r>
              <w:rPr>
                <w:rStyle w:val="6"/>
                <w:rFonts w:eastAsia="宋体"/>
                <w:lang w:val="en-US" w:eastAsia="zh-CN" w:bidi="ar"/>
              </w:rPr>
              <w:t>+6</w:t>
            </w:r>
            <w:r>
              <w:rPr>
                <w:rStyle w:val="9"/>
                <w:lang w:val="en-US" w:eastAsia="zh-CN" w:bidi="ar"/>
              </w:rPr>
              <w:t>月实际支出进度</w:t>
            </w:r>
            <w:r>
              <w:rPr>
                <w:rStyle w:val="6"/>
                <w:rFonts w:eastAsia="宋体"/>
                <w:lang w:val="en-US" w:eastAsia="zh-CN" w:bidi="ar"/>
              </w:rPr>
              <w:t>/40%*2+9</w:t>
            </w:r>
            <w:r>
              <w:rPr>
                <w:rStyle w:val="9"/>
                <w:lang w:val="en-US" w:eastAsia="zh-CN" w:bidi="ar"/>
              </w:rPr>
              <w:t>月实际支出进度</w:t>
            </w:r>
            <w:r>
              <w:rPr>
                <w:rStyle w:val="6"/>
                <w:rFonts w:eastAsia="宋体"/>
                <w:lang w:val="en-US" w:eastAsia="zh-CN" w:bidi="ar"/>
              </w:rPr>
              <w:t>/67.5%*2+11</w:t>
            </w:r>
            <w:r>
              <w:rPr>
                <w:rStyle w:val="9"/>
                <w:lang w:val="en-US" w:eastAsia="zh-CN" w:bidi="ar"/>
              </w:rPr>
              <w:t>月实际支出进度</w:t>
            </w:r>
            <w:r>
              <w:rPr>
                <w:rStyle w:val="6"/>
                <w:rFonts w:eastAsia="宋体"/>
                <w:lang w:val="en-US" w:eastAsia="zh-CN" w:bidi="ar"/>
              </w:rPr>
              <w:t>/82.5%*2</w:t>
            </w:r>
            <w:r>
              <w:rPr>
                <w:rStyle w:val="9"/>
                <w:lang w:val="en-US" w:eastAsia="zh-CN" w:bidi="ar"/>
              </w:rPr>
              <w:t>。</w:t>
            </w:r>
            <w:r>
              <w:rPr>
                <w:rStyle w:val="6"/>
                <w:rFonts w:eastAsia="宋体"/>
                <w:lang w:val="en-US" w:eastAsia="zh-CN" w:bidi="ar"/>
              </w:rPr>
              <w:br w:type="textWrapping"/>
            </w:r>
            <w:r>
              <w:rPr>
                <w:rStyle w:val="9"/>
                <w:lang w:val="en-US" w:eastAsia="zh-CN" w:bidi="ar"/>
              </w:rPr>
              <w:t>部门预算执行进度在</w:t>
            </w:r>
            <w:r>
              <w:rPr>
                <w:rStyle w:val="6"/>
                <w:rFonts w:eastAsia="宋体"/>
                <w:lang w:val="en-US" w:eastAsia="zh-CN" w:bidi="ar"/>
              </w:rPr>
              <w:t>6</w:t>
            </w:r>
            <w:r>
              <w:rPr>
                <w:rStyle w:val="9"/>
                <w:lang w:val="en-US" w:eastAsia="zh-CN" w:bidi="ar"/>
              </w:rPr>
              <w:t>、</w:t>
            </w:r>
            <w:r>
              <w:rPr>
                <w:rStyle w:val="6"/>
                <w:rFonts w:eastAsia="宋体"/>
                <w:lang w:val="en-US" w:eastAsia="zh-CN" w:bidi="ar"/>
              </w:rPr>
              <w:t>9</w:t>
            </w:r>
            <w:r>
              <w:rPr>
                <w:rStyle w:val="9"/>
                <w:lang w:val="en-US" w:eastAsia="zh-CN" w:bidi="ar"/>
              </w:rPr>
              <w:t>、</w:t>
            </w:r>
            <w:r>
              <w:rPr>
                <w:rStyle w:val="6"/>
                <w:rFonts w:eastAsia="宋体"/>
                <w:lang w:val="en-US" w:eastAsia="zh-CN" w:bidi="ar"/>
              </w:rPr>
              <w:t>11</w:t>
            </w:r>
            <w:r>
              <w:rPr>
                <w:rStyle w:val="9"/>
                <w:lang w:val="en-US" w:eastAsia="zh-CN" w:bidi="ar"/>
              </w:rPr>
              <w:t>月应达到序时进度的</w:t>
            </w:r>
            <w:r>
              <w:rPr>
                <w:rStyle w:val="6"/>
                <w:rFonts w:eastAsia="宋体"/>
                <w:lang w:val="en-US" w:eastAsia="zh-CN" w:bidi="ar"/>
              </w:rPr>
              <w:t>80%</w:t>
            </w:r>
            <w:r>
              <w:rPr>
                <w:rStyle w:val="9"/>
                <w:lang w:val="en-US" w:eastAsia="zh-CN" w:bidi="ar"/>
              </w:rPr>
              <w:t>、</w:t>
            </w:r>
            <w:r>
              <w:rPr>
                <w:rStyle w:val="6"/>
                <w:rFonts w:eastAsia="宋体"/>
                <w:lang w:val="en-US" w:eastAsia="zh-CN" w:bidi="ar"/>
              </w:rPr>
              <w:t>90%</w:t>
            </w:r>
            <w:r>
              <w:rPr>
                <w:rStyle w:val="9"/>
                <w:lang w:val="en-US" w:eastAsia="zh-CN" w:bidi="ar"/>
              </w:rPr>
              <w:t>、</w:t>
            </w:r>
            <w:r>
              <w:rPr>
                <w:rStyle w:val="6"/>
                <w:rFonts w:eastAsia="宋体"/>
                <w:lang w:val="en-US" w:eastAsia="zh-CN" w:bidi="ar"/>
              </w:rPr>
              <w:t>90%</w:t>
            </w:r>
            <w:r>
              <w:rPr>
                <w:rStyle w:val="9"/>
                <w:lang w:val="en-US" w:eastAsia="zh-CN" w:bidi="ar"/>
              </w:rPr>
              <w:t>，即实际支岀进度分别达到</w:t>
            </w:r>
            <w:r>
              <w:rPr>
                <w:rStyle w:val="6"/>
                <w:rFonts w:eastAsia="宋体"/>
                <w:lang w:val="en-US" w:eastAsia="zh-CN" w:bidi="ar"/>
              </w:rPr>
              <w:t>40%</w:t>
            </w:r>
            <w:r>
              <w:rPr>
                <w:rStyle w:val="9"/>
                <w:lang w:val="en-US" w:eastAsia="zh-CN" w:bidi="ar"/>
              </w:rPr>
              <w:t>、</w:t>
            </w:r>
            <w:r>
              <w:rPr>
                <w:rStyle w:val="6"/>
                <w:rFonts w:eastAsia="宋体"/>
                <w:lang w:val="en-US" w:eastAsia="zh-CN" w:bidi="ar"/>
              </w:rPr>
              <w:t>67.5%</w:t>
            </w:r>
            <w:r>
              <w:rPr>
                <w:rStyle w:val="9"/>
                <w:lang w:val="en-US" w:eastAsia="zh-CN" w:bidi="ar"/>
              </w:rPr>
              <w:t>、</w:t>
            </w:r>
            <w:r>
              <w:rPr>
                <w:rStyle w:val="6"/>
                <w:rFonts w:eastAsia="宋体"/>
                <w:lang w:val="en-US" w:eastAsia="zh-CN" w:bidi="ar"/>
              </w:rPr>
              <w:t>82.5%</w:t>
            </w:r>
            <w:r>
              <w:rPr>
                <w:rStyle w:val="9"/>
                <w:lang w:val="en-US" w:eastAsia="zh-CN" w:bidi="ar"/>
              </w:rPr>
              <w:t>。</w:t>
            </w:r>
            <w:r>
              <w:rPr>
                <w:rStyle w:val="6"/>
                <w:rFonts w:eastAsia="宋体"/>
                <w:lang w:val="en-US" w:eastAsia="zh-CN" w:bidi="ar"/>
              </w:rPr>
              <w:t>6</w:t>
            </w:r>
            <w:r>
              <w:rPr>
                <w:rStyle w:val="9"/>
                <w:lang w:val="en-US" w:eastAsia="zh-CN" w:bidi="ar"/>
              </w:rPr>
              <w:t>、</w:t>
            </w:r>
            <w:r>
              <w:rPr>
                <w:rStyle w:val="6"/>
                <w:rFonts w:eastAsia="宋体"/>
                <w:lang w:val="en-US" w:eastAsia="zh-CN" w:bidi="ar"/>
              </w:rPr>
              <w:t>9</w:t>
            </w:r>
            <w:r>
              <w:rPr>
                <w:rStyle w:val="9"/>
                <w:lang w:val="en-US" w:eastAsia="zh-CN" w:bidi="ar"/>
              </w:rPr>
              <w:t>、</w:t>
            </w:r>
            <w:r>
              <w:rPr>
                <w:rStyle w:val="6"/>
                <w:rFonts w:eastAsia="宋体"/>
                <w:lang w:val="en-US" w:eastAsia="zh-CN" w:bidi="ar"/>
              </w:rPr>
              <w:t>11</w:t>
            </w:r>
            <w:r>
              <w:rPr>
                <w:rStyle w:val="9"/>
                <w:lang w:val="en-US" w:eastAsia="zh-CN" w:bidi="ar"/>
              </w:rPr>
              <w:t>月部门预算执行进度达到量化指标的分别得</w:t>
            </w:r>
            <w:r>
              <w:rPr>
                <w:rStyle w:val="6"/>
                <w:rFonts w:eastAsia="宋体"/>
                <w:lang w:val="en-US" w:eastAsia="zh-CN" w:bidi="ar"/>
              </w:rPr>
              <w:t>2</w:t>
            </w:r>
            <w:r>
              <w:rPr>
                <w:rStyle w:val="9"/>
                <w:lang w:val="en-US" w:eastAsia="zh-CN" w:bidi="ar"/>
              </w:rPr>
              <w:t>、</w:t>
            </w:r>
            <w:r>
              <w:rPr>
                <w:rStyle w:val="6"/>
                <w:rFonts w:eastAsia="宋体"/>
                <w:lang w:val="en-US" w:eastAsia="zh-CN" w:bidi="ar"/>
              </w:rPr>
              <w:t>2</w:t>
            </w:r>
            <w:r>
              <w:rPr>
                <w:rStyle w:val="9"/>
                <w:lang w:val="en-US" w:eastAsia="zh-CN" w:bidi="ar"/>
              </w:rPr>
              <w:t>、</w:t>
            </w:r>
            <w:r>
              <w:rPr>
                <w:rStyle w:val="6"/>
                <w:rFonts w:eastAsia="宋体"/>
                <w:lang w:val="en-US" w:eastAsia="zh-CN" w:bidi="ar"/>
              </w:rPr>
              <w:t>2</w:t>
            </w:r>
            <w:r>
              <w:rPr>
                <w:rStyle w:val="9"/>
                <w:lang w:val="en-US" w:eastAsia="zh-CN" w:bidi="ar"/>
              </w:rPr>
              <w:t>分，未达到目标进度的按其实际进度占目标进度的比重计算得分。</w:t>
            </w:r>
          </w:p>
        </w:tc>
        <w:tc>
          <w:tcPr>
            <w:tcW w:w="3083" w:type="dxa"/>
            <w:tcBorders>
              <w:top w:val="nil"/>
              <w:left w:val="nil"/>
              <w:bottom w:val="nil"/>
              <w:right w:val="nil"/>
            </w:tcBorders>
            <w:shd w:val="clear" w:color="auto" w:fill="auto"/>
            <w:vAlign w:val="center"/>
          </w:tcPr>
          <w:p w14:paraId="40EF9A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该项指标得分=(165.21/(534.77*50%)*2)+0.3446/40%*2+0.581828/67.5%*2+0.75102/82.5%*2=6.5；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6月部门预算执行进度=165.21/479.42=0.3446；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9月部门预算执行进度=278.94/479.42=0.581828；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11月部门预算执行进度=362.97/479.42=0.757102。</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805B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w:t>
            </w:r>
          </w:p>
        </w:tc>
      </w:tr>
      <w:tr w14:paraId="47254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239F6">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2252F">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F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预算年终结余</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602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2A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部门整体年终预算结余情况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A8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398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9"/>
                <w:lang w:val="en-US" w:eastAsia="zh-CN" w:bidi="ar"/>
              </w:rPr>
              <w:t>该项指标得分</w:t>
            </w:r>
            <w:r>
              <w:rPr>
                <w:rStyle w:val="6"/>
                <w:rFonts w:eastAsia="宋体"/>
                <w:lang w:val="en-US" w:eastAsia="zh-CN" w:bidi="ar"/>
              </w:rPr>
              <w:t>=</w:t>
            </w:r>
            <w:r>
              <w:rPr>
                <w:rStyle w:val="9"/>
                <w:lang w:val="en-US" w:eastAsia="zh-CN" w:bidi="ar"/>
              </w:rPr>
              <w:t>（</w:t>
            </w:r>
            <w:r>
              <w:rPr>
                <w:rStyle w:val="6"/>
                <w:rFonts w:eastAsia="宋体"/>
                <w:lang w:val="en-US" w:eastAsia="zh-CN" w:bidi="ar"/>
              </w:rPr>
              <w:t>1-</w:t>
            </w:r>
            <w:r>
              <w:rPr>
                <w:rStyle w:val="9"/>
                <w:lang w:val="en-US" w:eastAsia="zh-CN" w:bidi="ar"/>
              </w:rPr>
              <w:t>部门整体预算结余率）</w:t>
            </w:r>
            <w:r>
              <w:rPr>
                <w:rStyle w:val="6"/>
                <w:rFonts w:eastAsia="宋体"/>
                <w:lang w:val="en-US" w:eastAsia="zh-CN" w:bidi="ar"/>
              </w:rPr>
              <w:t>×100%×</w:t>
            </w:r>
            <w:r>
              <w:rPr>
                <w:rStyle w:val="9"/>
                <w:lang w:val="en-US" w:eastAsia="zh-CN" w:bidi="ar"/>
              </w:rPr>
              <w:t>2。部门整体预算结余率为当年年终部门预算注销金额和结转金额占部门预算总金额的比率。（当年年终部门预算注销金额和结转金额占部门预算总金额以决算报表中的调整预算数减去决算数为准）</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65B3">
            <w:pPr>
              <w:jc w:val="left"/>
              <w:rPr>
                <w:rFonts w:hint="eastAsia" w:ascii="宋体" w:hAnsi="宋体" w:eastAsia="宋体" w:cs="宋体"/>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DF0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3DF94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57157">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6663E">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7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严控一般性支出</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A2D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2AC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9"/>
                <w:lang w:val="en-US" w:eastAsia="zh-CN" w:bidi="ar"/>
              </w:rPr>
              <w:t>部门严控“三公”经费、会议、培训、差旅、办节办展、办公设备购置、信息网络及软件购置更新、课题经费等</w:t>
            </w:r>
            <w:r>
              <w:rPr>
                <w:rStyle w:val="6"/>
                <w:rFonts w:eastAsia="宋体"/>
                <w:lang w:val="en-US" w:eastAsia="zh-CN" w:bidi="ar"/>
              </w:rPr>
              <w:t>8</w:t>
            </w:r>
            <w:r>
              <w:rPr>
                <w:rStyle w:val="9"/>
                <w:lang w:val="en-US" w:eastAsia="zh-CN" w:bidi="ar"/>
              </w:rPr>
              <w:t>项一般性支出情况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72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nil"/>
              <w:left w:val="nil"/>
              <w:bottom w:val="nil"/>
              <w:right w:val="nil"/>
            </w:tcBorders>
            <w:shd w:val="clear" w:color="auto" w:fill="auto"/>
            <w:vAlign w:val="center"/>
          </w:tcPr>
          <w:p w14:paraId="46B1AD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9"/>
                <w:lang w:val="en-US" w:eastAsia="zh-CN" w:bidi="ar"/>
              </w:rPr>
              <w:t>该项指标得分</w:t>
            </w:r>
            <w:r>
              <w:rPr>
                <w:rStyle w:val="6"/>
                <w:rFonts w:eastAsia="宋体"/>
                <w:lang w:val="en-US" w:eastAsia="zh-CN" w:bidi="ar"/>
              </w:rPr>
              <w:t>=</w:t>
            </w:r>
            <w:r>
              <w:rPr>
                <w:rStyle w:val="9"/>
                <w:lang w:val="en-US" w:eastAsia="zh-CN" w:bidi="ar"/>
              </w:rPr>
              <w:t>基础分值</w:t>
            </w:r>
            <w:r>
              <w:rPr>
                <w:rStyle w:val="6"/>
                <w:rFonts w:eastAsia="宋体"/>
                <w:lang w:val="en-US" w:eastAsia="zh-CN" w:bidi="ar"/>
              </w:rPr>
              <w:t>+</w:t>
            </w:r>
            <w:r>
              <w:rPr>
                <w:rStyle w:val="9"/>
                <w:lang w:val="en-US" w:eastAsia="zh-CN" w:bidi="ar"/>
              </w:rPr>
              <w:t>加分值。</w:t>
            </w:r>
            <w:r>
              <w:rPr>
                <w:rStyle w:val="6"/>
                <w:rFonts w:eastAsia="宋体"/>
                <w:lang w:val="en-US" w:eastAsia="zh-CN" w:bidi="ar"/>
              </w:rPr>
              <w:br w:type="textWrapping"/>
            </w:r>
            <w:r>
              <w:rPr>
                <w:rStyle w:val="6"/>
                <w:rFonts w:eastAsia="宋体"/>
                <w:lang w:val="en-US" w:eastAsia="zh-CN" w:bidi="ar"/>
              </w:rPr>
              <w:t>1.</w:t>
            </w:r>
            <w:r>
              <w:rPr>
                <w:rStyle w:val="9"/>
                <w:lang w:val="en-US" w:eastAsia="zh-CN" w:bidi="ar"/>
              </w:rPr>
              <w:t>基础分值。一般性支出财政拨款年初预算较上年实现压减得</w:t>
            </w:r>
            <w:r>
              <w:rPr>
                <w:rStyle w:val="6"/>
                <w:rFonts w:eastAsia="宋体"/>
                <w:lang w:val="en-US" w:eastAsia="zh-CN" w:bidi="ar"/>
              </w:rPr>
              <w:t>1</w:t>
            </w:r>
            <w:r>
              <w:rPr>
                <w:rStyle w:val="9"/>
                <w:lang w:val="en-US" w:eastAsia="zh-CN" w:bidi="ar"/>
              </w:rPr>
              <w:t>分；一般性支出财政拨款预算执行较上年实现压减得</w:t>
            </w:r>
            <w:r>
              <w:rPr>
                <w:rStyle w:val="6"/>
                <w:rFonts w:eastAsia="宋体"/>
                <w:lang w:val="en-US" w:eastAsia="zh-CN" w:bidi="ar"/>
              </w:rPr>
              <w:t>1</w:t>
            </w:r>
            <w:r>
              <w:rPr>
                <w:rStyle w:val="9"/>
                <w:lang w:val="en-US" w:eastAsia="zh-CN" w:bidi="ar"/>
              </w:rPr>
              <w:t>分。</w:t>
            </w:r>
            <w:r>
              <w:rPr>
                <w:rStyle w:val="6"/>
                <w:rFonts w:eastAsia="宋体"/>
                <w:lang w:val="en-US" w:eastAsia="zh-CN" w:bidi="ar"/>
              </w:rPr>
              <w:br w:type="textWrapping"/>
            </w:r>
            <w:r>
              <w:rPr>
                <w:rStyle w:val="6"/>
                <w:rFonts w:eastAsia="宋体"/>
                <w:lang w:val="en-US" w:eastAsia="zh-CN" w:bidi="ar"/>
              </w:rPr>
              <w:t>2.</w:t>
            </w:r>
            <w:r>
              <w:rPr>
                <w:rStyle w:val="9"/>
                <w:lang w:val="en-US" w:eastAsia="zh-CN" w:bidi="ar"/>
              </w:rPr>
              <w:t>加分值。一般性支出财政拨款年初预算较上年每压减</w:t>
            </w:r>
            <w:r>
              <w:rPr>
                <w:rStyle w:val="6"/>
                <w:rFonts w:eastAsia="宋体"/>
                <w:lang w:val="en-US" w:eastAsia="zh-CN" w:bidi="ar"/>
              </w:rPr>
              <w:t>1%</w:t>
            </w:r>
            <w:r>
              <w:rPr>
                <w:rStyle w:val="9"/>
                <w:lang w:val="en-US" w:eastAsia="zh-CN" w:bidi="ar"/>
              </w:rPr>
              <w:t>得</w:t>
            </w:r>
            <w:r>
              <w:rPr>
                <w:rStyle w:val="6"/>
                <w:rFonts w:eastAsia="宋体"/>
                <w:lang w:val="en-US" w:eastAsia="zh-CN" w:bidi="ar"/>
              </w:rPr>
              <w:t>0.2</w:t>
            </w:r>
            <w:r>
              <w:rPr>
                <w:rStyle w:val="9"/>
                <w:lang w:val="en-US" w:eastAsia="zh-CN" w:bidi="ar"/>
              </w:rPr>
              <w:t>分，累计不超过</w:t>
            </w:r>
            <w:r>
              <w:rPr>
                <w:rStyle w:val="6"/>
                <w:rFonts w:eastAsia="宋体"/>
                <w:lang w:val="en-US" w:eastAsia="zh-CN" w:bidi="ar"/>
              </w:rPr>
              <w:t>1</w:t>
            </w:r>
            <w:r>
              <w:rPr>
                <w:rStyle w:val="9"/>
                <w:lang w:val="en-US" w:eastAsia="zh-CN" w:bidi="ar"/>
              </w:rPr>
              <w:t>分；一般性支出财政拨款预算执行较上年每压减</w:t>
            </w:r>
            <w:r>
              <w:rPr>
                <w:rStyle w:val="6"/>
                <w:rFonts w:eastAsia="宋体"/>
                <w:lang w:val="en-US" w:eastAsia="zh-CN" w:bidi="ar"/>
              </w:rPr>
              <w:t>1%</w:t>
            </w:r>
            <w:r>
              <w:rPr>
                <w:rStyle w:val="9"/>
                <w:lang w:val="en-US" w:eastAsia="zh-CN" w:bidi="ar"/>
              </w:rPr>
              <w:t>得</w:t>
            </w:r>
            <w:r>
              <w:rPr>
                <w:rStyle w:val="6"/>
                <w:rFonts w:eastAsia="宋体"/>
                <w:lang w:val="en-US" w:eastAsia="zh-CN" w:bidi="ar"/>
              </w:rPr>
              <w:t>0.4</w:t>
            </w:r>
            <w:r>
              <w:rPr>
                <w:rStyle w:val="9"/>
                <w:lang w:val="en-US" w:eastAsia="zh-CN" w:bidi="ar"/>
              </w:rPr>
              <w:t>分，累计不超过</w:t>
            </w:r>
            <w:r>
              <w:rPr>
                <w:rStyle w:val="6"/>
                <w:rFonts w:eastAsia="宋体"/>
                <w:lang w:val="en-US" w:eastAsia="zh-CN" w:bidi="ar"/>
              </w:rPr>
              <w:t>2</w:t>
            </w:r>
            <w:r>
              <w:rPr>
                <w:rStyle w:val="9"/>
                <w:lang w:val="en-US" w:eastAsia="zh-CN" w:bidi="ar"/>
              </w:rPr>
              <w:t>分。</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F6B4">
            <w:pPr>
              <w:jc w:val="left"/>
              <w:rPr>
                <w:rFonts w:hint="eastAsia" w:ascii="宋体" w:hAnsi="宋体" w:eastAsia="宋体" w:cs="宋体"/>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9C2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r>
      <w:tr w14:paraId="482A1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4"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AA8F9">
            <w:pPr>
              <w:jc w:val="center"/>
              <w:rPr>
                <w:rFonts w:hint="default" w:ascii="Times New Roman" w:hAnsi="Times New Roman" w:eastAsia="宋体" w:cs="Times New Roman"/>
                <w:b/>
                <w:bCs/>
                <w:i w:val="0"/>
                <w:iCs w:val="0"/>
                <w:color w:val="000000"/>
                <w:sz w:val="24"/>
                <w:szCs w:val="24"/>
                <w:u w:val="none"/>
              </w:rPr>
            </w:pP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A030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财务管理</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10</w:t>
            </w:r>
            <w:r>
              <w:rPr>
                <w:rStyle w:val="7"/>
                <w:lang w:val="en-US" w:eastAsia="zh-CN" w:bidi="ar"/>
              </w:rPr>
              <w:t>分）</w:t>
            </w: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DDB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财务管理制度</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37A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EA8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部门财务管理制度建立情况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9CC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缺（错）项</w:t>
            </w:r>
            <w:r>
              <w:rPr>
                <w:rStyle w:val="6"/>
                <w:rFonts w:eastAsia="宋体"/>
                <w:lang w:val="en-US" w:eastAsia="zh-CN" w:bidi="ar"/>
              </w:rPr>
              <w:br w:type="textWrapping"/>
            </w:r>
            <w:r>
              <w:rPr>
                <w:rStyle w:val="9"/>
                <w:lang w:val="en-US" w:eastAsia="zh-CN" w:bidi="ar"/>
              </w:rPr>
              <w:t>扣分法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6D417">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部门已制定内部财务管理制度等制度机制的，得</w:t>
            </w:r>
            <w:r>
              <w:rPr>
                <w:rStyle w:val="6"/>
                <w:rFonts w:eastAsia="宋体"/>
                <w:lang w:val="en-US" w:eastAsia="zh-CN" w:bidi="ar"/>
              </w:rPr>
              <w:t>2</w:t>
            </w:r>
            <w:r>
              <w:rPr>
                <w:rStyle w:val="9"/>
                <w:lang w:val="en-US" w:eastAsia="zh-CN" w:bidi="ar"/>
              </w:rPr>
              <w:t>分。财务管理制度得到落实，得</w:t>
            </w:r>
            <w:r>
              <w:rPr>
                <w:rStyle w:val="6"/>
                <w:rFonts w:eastAsia="宋体"/>
                <w:lang w:val="en-US" w:eastAsia="zh-CN" w:bidi="ar"/>
              </w:rPr>
              <w:t>2</w:t>
            </w:r>
            <w:r>
              <w:rPr>
                <w:rStyle w:val="9"/>
                <w:lang w:val="en-US" w:eastAsia="zh-CN" w:bidi="ar"/>
              </w:rPr>
              <w:t>分。否则该项不得分。</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7CDD">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534F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0D133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C774B">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C33D6">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7E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财务岗位设置</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F5B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A6A3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部门财务岗位设置是否符合相关财务管理制度要求</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7A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C2B5">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部门合理设置财务工作岗位，明确职责权限，并严格实行不相容岗位分离的，得</w:t>
            </w:r>
            <w:r>
              <w:rPr>
                <w:rStyle w:val="6"/>
                <w:rFonts w:eastAsia="宋体"/>
                <w:lang w:val="en-US" w:eastAsia="zh-CN" w:bidi="ar"/>
              </w:rPr>
              <w:t>2</w:t>
            </w:r>
            <w:r>
              <w:rPr>
                <w:rStyle w:val="9"/>
                <w:lang w:val="en-US" w:eastAsia="zh-CN" w:bidi="ar"/>
              </w:rPr>
              <w:t>分。否则该项不得分。</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EA316">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33B5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r>
      <w:tr w14:paraId="7057B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93A69">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4C9BF">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5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资金使用规范</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612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296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部门资金使用是否符合相关财务管理制度规定</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C2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缺（错）项</w:t>
            </w:r>
            <w:r>
              <w:rPr>
                <w:rStyle w:val="6"/>
                <w:rFonts w:eastAsia="宋体"/>
                <w:lang w:val="en-US" w:eastAsia="zh-CN" w:bidi="ar"/>
              </w:rPr>
              <w:br w:type="textWrapping"/>
            </w:r>
            <w:r>
              <w:rPr>
                <w:rStyle w:val="9"/>
                <w:lang w:val="en-US" w:eastAsia="zh-CN" w:bidi="ar"/>
              </w:rPr>
              <w:t>扣分法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F9AF">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部门资金使用不符合相关财务管理制度规定的，发现一处扣</w:t>
            </w:r>
            <w:r>
              <w:rPr>
                <w:rStyle w:val="6"/>
                <w:rFonts w:eastAsia="宋体"/>
                <w:lang w:val="en-US" w:eastAsia="zh-CN" w:bidi="ar"/>
              </w:rPr>
              <w:t>1</w:t>
            </w:r>
            <w:r>
              <w:rPr>
                <w:rStyle w:val="9"/>
                <w:lang w:val="en-US" w:eastAsia="zh-CN" w:bidi="ar"/>
              </w:rPr>
              <w:t>分，扣完为止。</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A00D">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8BA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23832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BF863">
            <w:pPr>
              <w:jc w:val="center"/>
              <w:rPr>
                <w:rFonts w:hint="default" w:ascii="Times New Roman" w:hAnsi="Times New Roman" w:eastAsia="宋体" w:cs="Times New Roman"/>
                <w:b/>
                <w:bCs/>
                <w:i w:val="0"/>
                <w:iCs w:val="0"/>
                <w:color w:val="000000"/>
                <w:sz w:val="24"/>
                <w:szCs w:val="24"/>
                <w:u w:val="none"/>
              </w:rPr>
            </w:pP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5271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资产管理</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9</w:t>
            </w:r>
            <w:r>
              <w:rPr>
                <w:rStyle w:val="7"/>
                <w:lang w:val="en-US" w:eastAsia="zh-CN" w:bidi="ar"/>
              </w:rPr>
              <w:t>分）</w:t>
            </w: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F2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人均资产变化率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192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1367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部门人均资产变化情况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BB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71A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9"/>
                <w:lang w:val="en-US" w:eastAsia="zh-CN" w:bidi="ar"/>
              </w:rPr>
              <w:t>部门人均资产变化率为</w:t>
            </w:r>
            <w:r>
              <w:rPr>
                <w:rStyle w:val="6"/>
                <w:rFonts w:eastAsia="宋体"/>
                <w:lang w:val="en-US" w:eastAsia="zh-CN" w:bidi="ar"/>
              </w:rPr>
              <w:t>X</w:t>
            </w:r>
            <w:r>
              <w:rPr>
                <w:rStyle w:val="9"/>
                <w:lang w:val="en-US" w:eastAsia="zh-CN" w:bidi="ar"/>
              </w:rPr>
              <w:t>，市直行政事业单位人均资产变化率为</w:t>
            </w:r>
            <w:r>
              <w:rPr>
                <w:rStyle w:val="6"/>
                <w:rFonts w:eastAsia="宋体"/>
                <w:lang w:val="en-US" w:eastAsia="zh-CN" w:bidi="ar"/>
              </w:rPr>
              <w:t>N</w:t>
            </w:r>
            <w:r>
              <w:rPr>
                <w:rStyle w:val="9"/>
                <w:lang w:val="en-US" w:eastAsia="zh-CN" w:bidi="ar"/>
              </w:rPr>
              <w:t>，则：若</w:t>
            </w:r>
            <w:r>
              <w:rPr>
                <w:rStyle w:val="6"/>
                <w:rFonts w:eastAsia="宋体"/>
                <w:lang w:val="en-US" w:eastAsia="zh-CN" w:bidi="ar"/>
              </w:rPr>
              <w:t>N≥0</w:t>
            </w:r>
            <w:r>
              <w:rPr>
                <w:rStyle w:val="9"/>
                <w:lang w:val="en-US" w:eastAsia="zh-CN" w:bidi="ar"/>
              </w:rPr>
              <w:t>，则</w:t>
            </w:r>
            <w:r>
              <w:rPr>
                <w:rStyle w:val="6"/>
                <w:rFonts w:eastAsia="宋体"/>
                <w:lang w:val="en-US" w:eastAsia="zh-CN" w:bidi="ar"/>
              </w:rPr>
              <w:t>X≤N</w:t>
            </w:r>
            <w:r>
              <w:rPr>
                <w:rStyle w:val="9"/>
                <w:lang w:val="en-US" w:eastAsia="zh-CN" w:bidi="ar"/>
              </w:rPr>
              <w:t>，得</w:t>
            </w:r>
            <w:r>
              <w:rPr>
                <w:rStyle w:val="6"/>
                <w:rFonts w:eastAsia="宋体"/>
                <w:lang w:val="en-US" w:eastAsia="zh-CN" w:bidi="ar"/>
              </w:rPr>
              <w:t>1.5</w:t>
            </w:r>
            <w:r>
              <w:rPr>
                <w:rStyle w:val="9"/>
                <w:lang w:val="en-US" w:eastAsia="zh-CN" w:bidi="ar"/>
              </w:rPr>
              <w:t>分；</w:t>
            </w:r>
            <w:r>
              <w:rPr>
                <w:rStyle w:val="6"/>
                <w:rFonts w:eastAsia="宋体"/>
                <w:lang w:val="en-US" w:eastAsia="zh-CN" w:bidi="ar"/>
              </w:rPr>
              <w:t>N</w:t>
            </w:r>
            <w:r>
              <w:rPr>
                <w:rStyle w:val="9"/>
                <w:lang w:val="en-US" w:eastAsia="zh-CN" w:bidi="ar"/>
              </w:rPr>
              <w:t>＜</w:t>
            </w:r>
            <w:r>
              <w:rPr>
                <w:rStyle w:val="6"/>
                <w:rFonts w:eastAsia="宋体"/>
                <w:lang w:val="en-US" w:eastAsia="zh-CN" w:bidi="ar"/>
              </w:rPr>
              <w:t>X≤1.2N</w:t>
            </w:r>
            <w:r>
              <w:rPr>
                <w:rStyle w:val="9"/>
                <w:lang w:val="en-US" w:eastAsia="zh-CN" w:bidi="ar"/>
              </w:rPr>
              <w:t>，得</w:t>
            </w:r>
            <w:r>
              <w:rPr>
                <w:rStyle w:val="6"/>
                <w:rFonts w:eastAsia="宋体"/>
                <w:lang w:val="en-US" w:eastAsia="zh-CN" w:bidi="ar"/>
              </w:rPr>
              <w:t>0.9</w:t>
            </w:r>
            <w:r>
              <w:rPr>
                <w:rStyle w:val="9"/>
                <w:lang w:val="en-US" w:eastAsia="zh-CN" w:bidi="ar"/>
              </w:rPr>
              <w:t>分；</w:t>
            </w:r>
            <w:r>
              <w:rPr>
                <w:rStyle w:val="6"/>
                <w:rFonts w:eastAsia="宋体"/>
                <w:lang w:val="en-US" w:eastAsia="zh-CN" w:bidi="ar"/>
              </w:rPr>
              <w:t>1.2N</w:t>
            </w:r>
            <w:r>
              <w:rPr>
                <w:rStyle w:val="9"/>
                <w:lang w:val="en-US" w:eastAsia="zh-CN" w:bidi="ar"/>
              </w:rPr>
              <w:t>＜</w:t>
            </w:r>
            <w:r>
              <w:rPr>
                <w:rStyle w:val="6"/>
                <w:rFonts w:eastAsia="宋体"/>
                <w:lang w:val="en-US" w:eastAsia="zh-CN" w:bidi="ar"/>
              </w:rPr>
              <w:t>X≤1.4N</w:t>
            </w:r>
            <w:r>
              <w:rPr>
                <w:rStyle w:val="9"/>
                <w:lang w:val="en-US" w:eastAsia="zh-CN" w:bidi="ar"/>
              </w:rPr>
              <w:t>，得</w:t>
            </w:r>
            <w:r>
              <w:rPr>
                <w:rStyle w:val="6"/>
                <w:rFonts w:eastAsia="宋体"/>
                <w:lang w:val="en-US" w:eastAsia="zh-CN" w:bidi="ar"/>
              </w:rPr>
              <w:t>0.6</w:t>
            </w:r>
            <w:r>
              <w:rPr>
                <w:rStyle w:val="9"/>
                <w:lang w:val="en-US" w:eastAsia="zh-CN" w:bidi="ar"/>
              </w:rPr>
              <w:t>分；</w:t>
            </w:r>
            <w:r>
              <w:rPr>
                <w:rStyle w:val="6"/>
                <w:rFonts w:eastAsia="宋体"/>
                <w:lang w:val="en-US" w:eastAsia="zh-CN" w:bidi="ar"/>
              </w:rPr>
              <w:t>X</w:t>
            </w:r>
            <w:r>
              <w:rPr>
                <w:rStyle w:val="9"/>
                <w:lang w:val="en-US" w:eastAsia="zh-CN" w:bidi="ar"/>
              </w:rPr>
              <w:t>＞</w:t>
            </w:r>
            <w:r>
              <w:rPr>
                <w:rStyle w:val="6"/>
                <w:rFonts w:eastAsia="宋体"/>
                <w:lang w:val="en-US" w:eastAsia="zh-CN" w:bidi="ar"/>
              </w:rPr>
              <w:t>1.4N</w:t>
            </w:r>
            <w:r>
              <w:rPr>
                <w:rStyle w:val="9"/>
                <w:lang w:val="en-US" w:eastAsia="zh-CN" w:bidi="ar"/>
              </w:rPr>
              <w:t>，得</w:t>
            </w:r>
            <w:r>
              <w:rPr>
                <w:rStyle w:val="6"/>
                <w:rFonts w:eastAsia="宋体"/>
                <w:lang w:val="en-US" w:eastAsia="zh-CN" w:bidi="ar"/>
              </w:rPr>
              <w:t>0.3</w:t>
            </w:r>
            <w:r>
              <w:rPr>
                <w:rStyle w:val="9"/>
                <w:lang w:val="en-US" w:eastAsia="zh-CN" w:bidi="ar"/>
              </w:rPr>
              <w:t>分。若</w:t>
            </w:r>
            <w:r>
              <w:rPr>
                <w:rStyle w:val="6"/>
                <w:rFonts w:eastAsia="宋体"/>
                <w:lang w:val="en-US" w:eastAsia="zh-CN" w:bidi="ar"/>
              </w:rPr>
              <w:t>N</w:t>
            </w:r>
            <w:r>
              <w:rPr>
                <w:rStyle w:val="9"/>
                <w:lang w:val="en-US" w:eastAsia="zh-CN" w:bidi="ar"/>
              </w:rPr>
              <w:t>＜</w:t>
            </w:r>
            <w:r>
              <w:rPr>
                <w:rStyle w:val="6"/>
                <w:rFonts w:eastAsia="宋体"/>
                <w:lang w:val="en-US" w:eastAsia="zh-CN" w:bidi="ar"/>
              </w:rPr>
              <w:t>0</w:t>
            </w:r>
            <w:r>
              <w:rPr>
                <w:rStyle w:val="9"/>
                <w:lang w:val="en-US" w:eastAsia="zh-CN" w:bidi="ar"/>
              </w:rPr>
              <w:t>，则</w:t>
            </w:r>
            <w:r>
              <w:rPr>
                <w:rStyle w:val="6"/>
                <w:rFonts w:eastAsia="宋体"/>
                <w:lang w:val="en-US" w:eastAsia="zh-CN" w:bidi="ar"/>
              </w:rPr>
              <w:t>X≤1.4N</w:t>
            </w:r>
            <w:r>
              <w:rPr>
                <w:rStyle w:val="9"/>
                <w:lang w:val="en-US" w:eastAsia="zh-CN" w:bidi="ar"/>
              </w:rPr>
              <w:t>，得</w:t>
            </w:r>
            <w:r>
              <w:rPr>
                <w:rStyle w:val="6"/>
                <w:rFonts w:eastAsia="宋体"/>
                <w:lang w:val="en-US" w:eastAsia="zh-CN" w:bidi="ar"/>
              </w:rPr>
              <w:t>1.5</w:t>
            </w:r>
            <w:r>
              <w:rPr>
                <w:rStyle w:val="9"/>
                <w:lang w:val="en-US" w:eastAsia="zh-CN" w:bidi="ar"/>
              </w:rPr>
              <w:t>分；</w:t>
            </w:r>
            <w:r>
              <w:rPr>
                <w:rStyle w:val="6"/>
                <w:rFonts w:eastAsia="宋体"/>
                <w:lang w:val="en-US" w:eastAsia="zh-CN" w:bidi="ar"/>
              </w:rPr>
              <w:t>1.4N</w:t>
            </w:r>
            <w:r>
              <w:rPr>
                <w:rStyle w:val="9"/>
                <w:lang w:val="en-US" w:eastAsia="zh-CN" w:bidi="ar"/>
              </w:rPr>
              <w:t>＜</w:t>
            </w:r>
            <w:r>
              <w:rPr>
                <w:rStyle w:val="6"/>
                <w:rFonts w:eastAsia="宋体"/>
                <w:lang w:val="en-US" w:eastAsia="zh-CN" w:bidi="ar"/>
              </w:rPr>
              <w:t>X≤1.2N</w:t>
            </w:r>
            <w:r>
              <w:rPr>
                <w:rStyle w:val="9"/>
                <w:lang w:val="en-US" w:eastAsia="zh-CN" w:bidi="ar"/>
              </w:rPr>
              <w:t>，得</w:t>
            </w:r>
            <w:r>
              <w:rPr>
                <w:rStyle w:val="6"/>
                <w:rFonts w:eastAsia="宋体"/>
                <w:lang w:val="en-US" w:eastAsia="zh-CN" w:bidi="ar"/>
              </w:rPr>
              <w:t>0.9</w:t>
            </w:r>
            <w:r>
              <w:rPr>
                <w:rStyle w:val="9"/>
                <w:lang w:val="en-US" w:eastAsia="zh-CN" w:bidi="ar"/>
              </w:rPr>
              <w:t>分；</w:t>
            </w:r>
            <w:r>
              <w:rPr>
                <w:rStyle w:val="6"/>
                <w:rFonts w:eastAsia="宋体"/>
                <w:lang w:val="en-US" w:eastAsia="zh-CN" w:bidi="ar"/>
              </w:rPr>
              <w:t>1.2N</w:t>
            </w:r>
            <w:r>
              <w:rPr>
                <w:rStyle w:val="9"/>
                <w:lang w:val="en-US" w:eastAsia="zh-CN" w:bidi="ar"/>
              </w:rPr>
              <w:t>＜</w:t>
            </w:r>
            <w:r>
              <w:rPr>
                <w:rStyle w:val="6"/>
                <w:rFonts w:eastAsia="宋体"/>
                <w:lang w:val="en-US" w:eastAsia="zh-CN" w:bidi="ar"/>
              </w:rPr>
              <w:t>X≤N</w:t>
            </w:r>
            <w:r>
              <w:rPr>
                <w:rStyle w:val="9"/>
                <w:lang w:val="en-US" w:eastAsia="zh-CN" w:bidi="ar"/>
              </w:rPr>
              <w:t>，得</w:t>
            </w:r>
            <w:r>
              <w:rPr>
                <w:rStyle w:val="6"/>
                <w:rFonts w:eastAsia="宋体"/>
                <w:lang w:val="en-US" w:eastAsia="zh-CN" w:bidi="ar"/>
              </w:rPr>
              <w:t>0.6</w:t>
            </w:r>
            <w:r>
              <w:rPr>
                <w:rStyle w:val="9"/>
                <w:lang w:val="en-US" w:eastAsia="zh-CN" w:bidi="ar"/>
              </w:rPr>
              <w:t>分；</w:t>
            </w:r>
            <w:r>
              <w:rPr>
                <w:rStyle w:val="6"/>
                <w:rFonts w:eastAsia="宋体"/>
                <w:lang w:val="en-US" w:eastAsia="zh-CN" w:bidi="ar"/>
              </w:rPr>
              <w:t>X</w:t>
            </w:r>
            <w:r>
              <w:rPr>
                <w:rStyle w:val="9"/>
                <w:lang w:val="en-US" w:eastAsia="zh-CN" w:bidi="ar"/>
              </w:rPr>
              <w:t>＞</w:t>
            </w:r>
            <w:r>
              <w:rPr>
                <w:rStyle w:val="6"/>
                <w:rFonts w:eastAsia="宋体"/>
                <w:lang w:val="en-US" w:eastAsia="zh-CN" w:bidi="ar"/>
              </w:rPr>
              <w:t>N</w:t>
            </w:r>
            <w:r>
              <w:rPr>
                <w:rStyle w:val="9"/>
                <w:lang w:val="en-US" w:eastAsia="zh-CN" w:bidi="ar"/>
              </w:rPr>
              <w:t>，得</w:t>
            </w:r>
            <w:r>
              <w:rPr>
                <w:rStyle w:val="6"/>
                <w:rFonts w:eastAsia="宋体"/>
                <w:lang w:val="en-US" w:eastAsia="zh-CN" w:bidi="ar"/>
              </w:rPr>
              <w:t>0.3</w:t>
            </w:r>
            <w:r>
              <w:rPr>
                <w:rStyle w:val="9"/>
                <w:lang w:val="en-US" w:eastAsia="zh-CN" w:bidi="ar"/>
              </w:rPr>
              <w:t>分。部门人均资产变化率</w:t>
            </w:r>
            <w:r>
              <w:rPr>
                <w:rStyle w:val="6"/>
                <w:rFonts w:eastAsia="宋体"/>
                <w:lang w:val="en-US" w:eastAsia="zh-CN" w:bidi="ar"/>
              </w:rPr>
              <w:t>=</w:t>
            </w:r>
            <w:r>
              <w:rPr>
                <w:rStyle w:val="9"/>
                <w:lang w:val="en-US" w:eastAsia="zh-CN" w:bidi="ar"/>
              </w:rPr>
              <w:t>（当年行政事业单位人均占有资产</w:t>
            </w:r>
            <w:r>
              <w:rPr>
                <w:rStyle w:val="6"/>
                <w:rFonts w:eastAsia="宋体"/>
                <w:lang w:val="en-US" w:eastAsia="zh-CN" w:bidi="ar"/>
              </w:rPr>
              <w:t>-</w:t>
            </w:r>
            <w:r>
              <w:rPr>
                <w:rStyle w:val="9"/>
                <w:lang w:val="en-US" w:eastAsia="zh-CN" w:bidi="ar"/>
              </w:rPr>
              <w:t>上年行政事业单位人均占有资产）</w:t>
            </w:r>
            <w:r>
              <w:rPr>
                <w:rStyle w:val="6"/>
                <w:rFonts w:eastAsia="宋体"/>
                <w:lang w:val="en-US" w:eastAsia="zh-CN" w:bidi="ar"/>
              </w:rPr>
              <w:t>÷</w:t>
            </w:r>
            <w:r>
              <w:rPr>
                <w:rStyle w:val="9"/>
                <w:lang w:val="en-US" w:eastAsia="zh-CN" w:bidi="ar"/>
              </w:rPr>
              <w:t>上年行政事业单位人均占有资产；行政事业单位人均占有资产</w:t>
            </w:r>
            <w:r>
              <w:rPr>
                <w:rStyle w:val="6"/>
                <w:rFonts w:eastAsia="宋体"/>
                <w:lang w:val="en-US" w:eastAsia="zh-CN" w:bidi="ar"/>
              </w:rPr>
              <w:t>=</w:t>
            </w:r>
            <w:r>
              <w:rPr>
                <w:rStyle w:val="9"/>
                <w:lang w:val="en-US" w:eastAsia="zh-CN" w:bidi="ar"/>
              </w:rPr>
              <w:t>（固定资产净值</w:t>
            </w:r>
            <w:r>
              <w:rPr>
                <w:rStyle w:val="6"/>
                <w:rFonts w:eastAsia="宋体"/>
                <w:lang w:val="en-US" w:eastAsia="zh-CN" w:bidi="ar"/>
              </w:rPr>
              <w:t>+</w:t>
            </w:r>
            <w:r>
              <w:rPr>
                <w:rStyle w:val="9"/>
                <w:lang w:val="en-US" w:eastAsia="zh-CN" w:bidi="ar"/>
              </w:rPr>
              <w:t>无形资产净值）</w:t>
            </w:r>
            <w:r>
              <w:rPr>
                <w:rStyle w:val="6"/>
                <w:rFonts w:eastAsia="宋体"/>
                <w:lang w:val="en-US" w:eastAsia="zh-CN" w:bidi="ar"/>
              </w:rPr>
              <w:t>÷</w:t>
            </w:r>
            <w:r>
              <w:rPr>
                <w:rStyle w:val="9"/>
                <w:lang w:val="en-US" w:eastAsia="zh-CN" w:bidi="ar"/>
              </w:rPr>
              <w:t>行政事业单位编制内实有人数</w:t>
            </w:r>
            <w:r>
              <w:rPr>
                <w:rStyle w:val="6"/>
                <w:rFonts w:eastAsia="宋体"/>
                <w:lang w:val="en-US" w:eastAsia="zh-CN" w:bidi="ar"/>
              </w:rPr>
              <w:br w:type="textWrapping"/>
            </w:r>
            <w:r>
              <w:rPr>
                <w:rStyle w:val="9"/>
                <w:lang w:val="en-US" w:eastAsia="zh-CN" w:bidi="ar"/>
              </w:rPr>
              <w:t>部门人均资产增长率为</w:t>
            </w:r>
            <w:r>
              <w:rPr>
                <w:rStyle w:val="6"/>
                <w:rFonts w:eastAsia="宋体"/>
                <w:lang w:val="en-US" w:eastAsia="zh-CN" w:bidi="ar"/>
              </w:rPr>
              <w:t>X</w:t>
            </w:r>
            <w:r>
              <w:rPr>
                <w:rStyle w:val="9"/>
                <w:lang w:val="en-US" w:eastAsia="zh-CN" w:bidi="ar"/>
              </w:rPr>
              <w:t>，同期市级财政收入增长率</w:t>
            </w:r>
            <w:r>
              <w:rPr>
                <w:rStyle w:val="6"/>
                <w:rFonts w:eastAsia="宋体"/>
                <w:lang w:val="en-US" w:eastAsia="zh-CN" w:bidi="ar"/>
              </w:rPr>
              <w:t>[</w:t>
            </w:r>
            <w:r>
              <w:rPr>
                <w:rStyle w:val="9"/>
                <w:lang w:val="en-US" w:eastAsia="zh-CN" w:bidi="ar"/>
              </w:rPr>
              <w:t>市本级一般公共预算收入同口径（剔除增值税留抵退税政策等影响）增长率</w:t>
            </w:r>
            <w:r>
              <w:rPr>
                <w:rStyle w:val="6"/>
                <w:rFonts w:eastAsia="宋体"/>
                <w:lang w:val="en-US" w:eastAsia="zh-CN" w:bidi="ar"/>
              </w:rPr>
              <w:t>]</w:t>
            </w:r>
            <w:r>
              <w:rPr>
                <w:rStyle w:val="9"/>
                <w:lang w:val="en-US" w:eastAsia="zh-CN" w:bidi="ar"/>
              </w:rPr>
              <w:t>为</w:t>
            </w:r>
            <w:r>
              <w:rPr>
                <w:rStyle w:val="6"/>
                <w:rFonts w:eastAsia="宋体"/>
                <w:lang w:val="en-US" w:eastAsia="zh-CN" w:bidi="ar"/>
              </w:rPr>
              <w:t>N</w:t>
            </w:r>
            <w:r>
              <w:rPr>
                <w:rStyle w:val="9"/>
                <w:lang w:val="en-US" w:eastAsia="zh-CN" w:bidi="ar"/>
              </w:rPr>
              <w:t>，则：若</w:t>
            </w:r>
            <w:r>
              <w:rPr>
                <w:rStyle w:val="6"/>
                <w:rFonts w:eastAsia="宋体"/>
                <w:lang w:val="en-US" w:eastAsia="zh-CN" w:bidi="ar"/>
              </w:rPr>
              <w:t>N≥0</w:t>
            </w:r>
            <w:r>
              <w:rPr>
                <w:rStyle w:val="9"/>
                <w:lang w:val="en-US" w:eastAsia="zh-CN" w:bidi="ar"/>
              </w:rPr>
              <w:t>，则</w:t>
            </w:r>
            <w:r>
              <w:rPr>
                <w:rStyle w:val="6"/>
                <w:rFonts w:eastAsia="宋体"/>
                <w:lang w:val="en-US" w:eastAsia="zh-CN" w:bidi="ar"/>
              </w:rPr>
              <w:t>X≤0</w:t>
            </w:r>
            <w:r>
              <w:rPr>
                <w:rStyle w:val="9"/>
                <w:lang w:val="en-US" w:eastAsia="zh-CN" w:bidi="ar"/>
              </w:rPr>
              <w:t>，得</w:t>
            </w:r>
            <w:r>
              <w:rPr>
                <w:rStyle w:val="6"/>
                <w:rFonts w:eastAsia="宋体"/>
                <w:lang w:val="en-US" w:eastAsia="zh-CN" w:bidi="ar"/>
              </w:rPr>
              <w:t>1.5</w:t>
            </w:r>
            <w:r>
              <w:rPr>
                <w:rStyle w:val="9"/>
                <w:lang w:val="en-US" w:eastAsia="zh-CN" w:bidi="ar"/>
              </w:rPr>
              <w:t>分；</w:t>
            </w:r>
            <w:r>
              <w:rPr>
                <w:rStyle w:val="6"/>
                <w:rFonts w:eastAsia="宋体"/>
                <w:lang w:val="en-US" w:eastAsia="zh-CN" w:bidi="ar"/>
              </w:rPr>
              <w:t>0</w:t>
            </w:r>
            <w:r>
              <w:rPr>
                <w:rStyle w:val="9"/>
                <w:lang w:val="en-US" w:eastAsia="zh-CN" w:bidi="ar"/>
              </w:rPr>
              <w:t>＜</w:t>
            </w:r>
            <w:r>
              <w:rPr>
                <w:rStyle w:val="6"/>
                <w:rFonts w:eastAsia="宋体"/>
                <w:lang w:val="en-US" w:eastAsia="zh-CN" w:bidi="ar"/>
              </w:rPr>
              <w:t>X≤N</w:t>
            </w:r>
            <w:r>
              <w:rPr>
                <w:rStyle w:val="9"/>
                <w:lang w:val="en-US" w:eastAsia="zh-CN" w:bidi="ar"/>
              </w:rPr>
              <w:t>，得</w:t>
            </w:r>
            <w:r>
              <w:rPr>
                <w:rStyle w:val="6"/>
                <w:rFonts w:eastAsia="宋体"/>
                <w:lang w:val="en-US" w:eastAsia="zh-CN" w:bidi="ar"/>
              </w:rPr>
              <w:t>0.9</w:t>
            </w:r>
            <w:r>
              <w:rPr>
                <w:rStyle w:val="9"/>
                <w:lang w:val="en-US" w:eastAsia="zh-CN" w:bidi="ar"/>
              </w:rPr>
              <w:t>分；</w:t>
            </w:r>
            <w:r>
              <w:rPr>
                <w:rStyle w:val="6"/>
                <w:rFonts w:eastAsia="宋体"/>
                <w:lang w:val="en-US" w:eastAsia="zh-CN" w:bidi="ar"/>
              </w:rPr>
              <w:t>N</w:t>
            </w:r>
            <w:r>
              <w:rPr>
                <w:rStyle w:val="9"/>
                <w:lang w:val="en-US" w:eastAsia="zh-CN" w:bidi="ar"/>
              </w:rPr>
              <w:t>＜</w:t>
            </w:r>
            <w:r>
              <w:rPr>
                <w:rStyle w:val="6"/>
                <w:rFonts w:eastAsia="宋体"/>
                <w:lang w:val="en-US" w:eastAsia="zh-CN" w:bidi="ar"/>
              </w:rPr>
              <w:t>X≤2N</w:t>
            </w:r>
            <w:r>
              <w:rPr>
                <w:rStyle w:val="9"/>
                <w:lang w:val="en-US" w:eastAsia="zh-CN" w:bidi="ar"/>
              </w:rPr>
              <w:t>，得</w:t>
            </w:r>
            <w:r>
              <w:rPr>
                <w:rStyle w:val="6"/>
                <w:rFonts w:eastAsia="宋体"/>
                <w:lang w:val="en-US" w:eastAsia="zh-CN" w:bidi="ar"/>
              </w:rPr>
              <w:t>0.6</w:t>
            </w:r>
            <w:r>
              <w:rPr>
                <w:rStyle w:val="9"/>
                <w:lang w:val="en-US" w:eastAsia="zh-CN" w:bidi="ar"/>
              </w:rPr>
              <w:t>分；</w:t>
            </w:r>
            <w:r>
              <w:rPr>
                <w:rStyle w:val="6"/>
                <w:rFonts w:eastAsia="宋体"/>
                <w:lang w:val="en-US" w:eastAsia="zh-CN" w:bidi="ar"/>
              </w:rPr>
              <w:t>X</w:t>
            </w:r>
            <w:r>
              <w:rPr>
                <w:rStyle w:val="9"/>
                <w:lang w:val="en-US" w:eastAsia="zh-CN" w:bidi="ar"/>
              </w:rPr>
              <w:t>＞</w:t>
            </w:r>
            <w:r>
              <w:rPr>
                <w:rStyle w:val="6"/>
                <w:rFonts w:eastAsia="宋体"/>
                <w:lang w:val="en-US" w:eastAsia="zh-CN" w:bidi="ar"/>
              </w:rPr>
              <w:t>2N</w:t>
            </w:r>
            <w:r>
              <w:rPr>
                <w:rStyle w:val="9"/>
                <w:lang w:val="en-US" w:eastAsia="zh-CN" w:bidi="ar"/>
              </w:rPr>
              <w:t>，不得分。若</w:t>
            </w:r>
            <w:r>
              <w:rPr>
                <w:rStyle w:val="6"/>
                <w:rFonts w:eastAsia="宋体"/>
                <w:lang w:val="en-US" w:eastAsia="zh-CN" w:bidi="ar"/>
              </w:rPr>
              <w:t>N&lt;0</w:t>
            </w:r>
            <w:r>
              <w:rPr>
                <w:rStyle w:val="9"/>
                <w:lang w:val="en-US" w:eastAsia="zh-CN" w:bidi="ar"/>
              </w:rPr>
              <w:t>；则</w:t>
            </w:r>
            <w:r>
              <w:rPr>
                <w:rStyle w:val="6"/>
                <w:rFonts w:eastAsia="宋体"/>
                <w:lang w:val="en-US" w:eastAsia="zh-CN" w:bidi="ar"/>
              </w:rPr>
              <w:t>X&lt;2N</w:t>
            </w:r>
            <w:r>
              <w:rPr>
                <w:rStyle w:val="9"/>
                <w:lang w:val="en-US" w:eastAsia="zh-CN" w:bidi="ar"/>
              </w:rPr>
              <w:t>，得</w:t>
            </w:r>
            <w:r>
              <w:rPr>
                <w:rStyle w:val="6"/>
                <w:rFonts w:eastAsia="宋体"/>
                <w:lang w:val="en-US" w:eastAsia="zh-CN" w:bidi="ar"/>
              </w:rPr>
              <w:t>1.5</w:t>
            </w:r>
            <w:r>
              <w:rPr>
                <w:rStyle w:val="9"/>
                <w:lang w:val="en-US" w:eastAsia="zh-CN" w:bidi="ar"/>
              </w:rPr>
              <w:t>分；</w:t>
            </w:r>
            <w:r>
              <w:rPr>
                <w:rStyle w:val="6"/>
                <w:rFonts w:eastAsia="宋体"/>
                <w:lang w:val="en-US" w:eastAsia="zh-CN" w:bidi="ar"/>
              </w:rPr>
              <w:t>2N≤X&lt;N</w:t>
            </w:r>
            <w:r>
              <w:rPr>
                <w:rStyle w:val="9"/>
                <w:lang w:val="en-US" w:eastAsia="zh-CN" w:bidi="ar"/>
              </w:rPr>
              <w:t>，得</w:t>
            </w:r>
            <w:r>
              <w:rPr>
                <w:rStyle w:val="6"/>
                <w:rFonts w:eastAsia="宋体"/>
                <w:lang w:val="en-US" w:eastAsia="zh-CN" w:bidi="ar"/>
              </w:rPr>
              <w:t>0.9</w:t>
            </w:r>
            <w:r>
              <w:rPr>
                <w:rStyle w:val="9"/>
                <w:lang w:val="en-US" w:eastAsia="zh-CN" w:bidi="ar"/>
              </w:rPr>
              <w:t>分；</w:t>
            </w:r>
            <w:r>
              <w:rPr>
                <w:rStyle w:val="6"/>
                <w:rFonts w:eastAsia="宋体"/>
                <w:lang w:val="en-US" w:eastAsia="zh-CN" w:bidi="ar"/>
              </w:rPr>
              <w:t>N≤X&lt;0</w:t>
            </w:r>
            <w:r>
              <w:rPr>
                <w:rStyle w:val="9"/>
                <w:lang w:val="en-US" w:eastAsia="zh-CN" w:bidi="ar"/>
              </w:rPr>
              <w:t>，得</w:t>
            </w:r>
            <w:r>
              <w:rPr>
                <w:rStyle w:val="6"/>
                <w:rFonts w:eastAsia="宋体"/>
                <w:lang w:val="en-US" w:eastAsia="zh-CN" w:bidi="ar"/>
              </w:rPr>
              <w:t>0.6</w:t>
            </w:r>
            <w:r>
              <w:rPr>
                <w:rStyle w:val="9"/>
                <w:lang w:val="en-US" w:eastAsia="zh-CN" w:bidi="ar"/>
              </w:rPr>
              <w:t>分；</w:t>
            </w:r>
            <w:r>
              <w:rPr>
                <w:rStyle w:val="6"/>
                <w:rFonts w:eastAsia="宋体"/>
                <w:lang w:val="en-US" w:eastAsia="zh-CN" w:bidi="ar"/>
              </w:rPr>
              <w:t>X&gt;0</w:t>
            </w:r>
            <w:r>
              <w:rPr>
                <w:rStyle w:val="9"/>
                <w:lang w:val="en-US" w:eastAsia="zh-CN" w:bidi="ar"/>
              </w:rPr>
              <w:t>，不得分。</w:t>
            </w:r>
            <w:r>
              <w:rPr>
                <w:rStyle w:val="6"/>
                <w:rFonts w:eastAsia="宋体"/>
                <w:lang w:val="en-US" w:eastAsia="zh-CN" w:bidi="ar"/>
              </w:rPr>
              <w:br w:type="textWrapping"/>
            </w:r>
            <w:r>
              <w:rPr>
                <w:rStyle w:val="10"/>
                <w:lang w:val="en-US" w:eastAsia="zh-CN" w:bidi="ar"/>
              </w:rPr>
              <w:t>（巴中市：</w:t>
            </w:r>
            <w:r>
              <w:rPr>
                <w:rStyle w:val="11"/>
                <w:rFonts w:eastAsia="宋体"/>
                <w:lang w:val="en-US" w:eastAsia="zh-CN" w:bidi="ar"/>
              </w:rPr>
              <w:t>2024</w:t>
            </w:r>
            <w:r>
              <w:rPr>
                <w:rStyle w:val="10"/>
                <w:lang w:val="en-US" w:eastAsia="zh-CN" w:bidi="ar"/>
              </w:rPr>
              <w:t>年市直行政事业单位人均资产变化率</w:t>
            </w:r>
            <w:r>
              <w:rPr>
                <w:rStyle w:val="11"/>
                <w:rFonts w:eastAsia="宋体"/>
                <w:lang w:val="en-US" w:eastAsia="zh-CN" w:bidi="ar"/>
              </w:rPr>
              <w:t>-5.13%</w:t>
            </w:r>
            <w:r>
              <w:rPr>
                <w:rStyle w:val="10"/>
                <w:lang w:val="en-US" w:eastAsia="zh-CN" w:bidi="ar"/>
              </w:rPr>
              <w:t>和</w:t>
            </w:r>
            <w:r>
              <w:rPr>
                <w:rStyle w:val="11"/>
                <w:rFonts w:eastAsia="宋体"/>
                <w:lang w:val="en-US" w:eastAsia="zh-CN" w:bidi="ar"/>
              </w:rPr>
              <w:t>2024</w:t>
            </w:r>
            <w:r>
              <w:rPr>
                <w:rStyle w:val="10"/>
                <w:lang w:val="en-US" w:eastAsia="zh-CN" w:bidi="ar"/>
              </w:rPr>
              <w:t>年市级财政收入增长率</w:t>
            </w:r>
            <w:r>
              <w:rPr>
                <w:rStyle w:val="11"/>
                <w:rFonts w:eastAsia="宋体"/>
                <w:lang w:val="en-US" w:eastAsia="zh-CN" w:bidi="ar"/>
              </w:rPr>
              <w:t>15.24%</w:t>
            </w:r>
            <w:r>
              <w:rPr>
                <w:rStyle w:val="10"/>
                <w:lang w:val="en-US" w:eastAsia="zh-CN" w:bidi="ar"/>
              </w:rPr>
              <w:t>。）</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B1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12"/>
                <w:lang w:val="en-US" w:eastAsia="zh-CN" w:bidi="ar"/>
              </w:rPr>
              <w:t>部门人均资产变化率</w:t>
            </w:r>
            <w:r>
              <w:rPr>
                <w:rStyle w:val="13"/>
                <w:rFonts w:eastAsia="宋体"/>
                <w:lang w:val="en-US" w:eastAsia="zh-CN" w:bidi="ar"/>
              </w:rPr>
              <w:t>=</w:t>
            </w:r>
            <w:r>
              <w:rPr>
                <w:rStyle w:val="12"/>
                <w:lang w:val="en-US" w:eastAsia="zh-CN" w:bidi="ar"/>
              </w:rPr>
              <w:t>（当年行政事业单位人均占有资产</w:t>
            </w:r>
            <w:r>
              <w:rPr>
                <w:rStyle w:val="13"/>
                <w:rFonts w:eastAsia="宋体"/>
                <w:lang w:val="en-US" w:eastAsia="zh-CN" w:bidi="ar"/>
              </w:rPr>
              <w:t>-</w:t>
            </w:r>
            <w:r>
              <w:rPr>
                <w:rStyle w:val="12"/>
                <w:lang w:val="en-US" w:eastAsia="zh-CN" w:bidi="ar"/>
              </w:rPr>
              <w:t>上年行政事业单位人均占有资产）</w:t>
            </w:r>
            <w:r>
              <w:rPr>
                <w:rStyle w:val="13"/>
                <w:rFonts w:eastAsia="宋体"/>
                <w:lang w:val="en-US" w:eastAsia="zh-CN" w:bidi="ar"/>
              </w:rPr>
              <w:t>=</w:t>
            </w:r>
            <w:r>
              <w:rPr>
                <w:rStyle w:val="12"/>
                <w:lang w:val="en-US" w:eastAsia="zh-CN" w:bidi="ar"/>
              </w:rPr>
              <w:t>（2.8-1.33）/1.33=1.11</w:t>
            </w:r>
            <w:r>
              <w:rPr>
                <w:rStyle w:val="13"/>
                <w:rFonts w:eastAsia="宋体"/>
                <w:lang w:val="en-US" w:eastAsia="zh-CN" w:bidi="ar"/>
              </w:rPr>
              <w:br w:type="textWrapping"/>
            </w:r>
            <w:r>
              <w:rPr>
                <w:rStyle w:val="12"/>
                <w:lang w:val="en-US" w:eastAsia="zh-CN" w:bidi="ar"/>
              </w:rPr>
              <w:t>上年行政事业单位人均占有资产=（固定资产净值+无形资产净值）÷行政事业单位编制内实有人数=（14.37+0.24）/11=1.33；当年行政事业单位人均占有资产=（固定资产净值+无形资产净值）÷行政事业单位编制内实有人数=（33.41+0.16）/12=2.8</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B4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w:t>
            </w:r>
          </w:p>
        </w:tc>
      </w:tr>
      <w:tr w14:paraId="0A230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E8EF0">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6E02E">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DE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资产利用率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CA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B0C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部门资产超最低使用年限情况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46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53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部门办公家具和用具超最低使用年限资产利用率</w:t>
            </w:r>
            <w:r>
              <w:rPr>
                <w:rStyle w:val="6"/>
                <w:rFonts w:eastAsia="宋体"/>
                <w:lang w:val="en-US" w:eastAsia="zh-CN" w:bidi="ar"/>
              </w:rPr>
              <w:t>=</w:t>
            </w:r>
            <w:r>
              <w:rPr>
                <w:rStyle w:val="9"/>
                <w:lang w:val="en-US" w:eastAsia="zh-CN" w:bidi="ar"/>
              </w:rPr>
              <w:t>超最低使用年限的办公家具账面原值</w:t>
            </w:r>
            <w:r>
              <w:rPr>
                <w:rStyle w:val="6"/>
                <w:rFonts w:eastAsia="宋体"/>
                <w:lang w:val="en-US" w:eastAsia="zh-CN" w:bidi="ar"/>
              </w:rPr>
              <w:t>÷</w:t>
            </w:r>
            <w:r>
              <w:rPr>
                <w:rStyle w:val="9"/>
                <w:lang w:val="en-US" w:eastAsia="zh-CN" w:bidi="ar"/>
              </w:rPr>
              <w:t>办公家具账面原值</w:t>
            </w:r>
            <w:r>
              <w:rPr>
                <w:rStyle w:val="6"/>
                <w:rFonts w:eastAsia="宋体"/>
                <w:lang w:val="en-US" w:eastAsia="zh-CN" w:bidi="ar"/>
              </w:rPr>
              <w:t>×100%</w:t>
            </w:r>
            <w:r>
              <w:rPr>
                <w:rStyle w:val="9"/>
                <w:lang w:val="en-US" w:eastAsia="zh-CN" w:bidi="ar"/>
              </w:rPr>
              <w:t>。办公家具和用具超最低使用年限资产利用率为</w:t>
            </w:r>
            <w:r>
              <w:rPr>
                <w:rStyle w:val="6"/>
                <w:rFonts w:eastAsia="宋体"/>
                <w:lang w:val="en-US" w:eastAsia="zh-CN" w:bidi="ar"/>
              </w:rPr>
              <w:t>X</w:t>
            </w:r>
            <w:r>
              <w:rPr>
                <w:rStyle w:val="9"/>
                <w:lang w:val="en-US" w:eastAsia="zh-CN" w:bidi="ar"/>
              </w:rPr>
              <w:t>，市直行政事业单位平均值</w:t>
            </w:r>
            <w:r>
              <w:rPr>
                <w:rStyle w:val="6"/>
                <w:rFonts w:eastAsia="宋体"/>
                <w:lang w:val="en-US" w:eastAsia="zh-CN" w:bidi="ar"/>
              </w:rPr>
              <w:t>N</w:t>
            </w:r>
            <w:r>
              <w:rPr>
                <w:rStyle w:val="9"/>
                <w:lang w:val="en-US" w:eastAsia="zh-CN" w:bidi="ar"/>
              </w:rPr>
              <w:t>，则：</w:t>
            </w:r>
            <w:r>
              <w:rPr>
                <w:rStyle w:val="6"/>
                <w:rFonts w:eastAsia="宋体"/>
                <w:lang w:val="en-US" w:eastAsia="zh-CN" w:bidi="ar"/>
              </w:rPr>
              <w:t>X</w:t>
            </w:r>
            <w:r>
              <w:rPr>
                <w:rStyle w:val="9"/>
                <w:lang w:val="en-US" w:eastAsia="zh-CN" w:bidi="ar"/>
              </w:rPr>
              <w:t>＞</w:t>
            </w:r>
            <w:r>
              <w:rPr>
                <w:rStyle w:val="6"/>
                <w:rFonts w:eastAsia="宋体"/>
                <w:lang w:val="en-US" w:eastAsia="zh-CN" w:bidi="ar"/>
              </w:rPr>
              <w:t>N</w:t>
            </w:r>
            <w:r>
              <w:rPr>
                <w:rStyle w:val="9"/>
                <w:lang w:val="en-US" w:eastAsia="zh-CN" w:bidi="ar"/>
              </w:rPr>
              <w:t>，得</w:t>
            </w:r>
            <w:r>
              <w:rPr>
                <w:rStyle w:val="6"/>
                <w:rFonts w:eastAsia="宋体"/>
                <w:lang w:val="en-US" w:eastAsia="zh-CN" w:bidi="ar"/>
              </w:rPr>
              <w:t>1.5</w:t>
            </w:r>
            <w:r>
              <w:rPr>
                <w:rStyle w:val="9"/>
                <w:lang w:val="en-US" w:eastAsia="zh-CN" w:bidi="ar"/>
              </w:rPr>
              <w:t>分；</w:t>
            </w:r>
            <w:r>
              <w:rPr>
                <w:rStyle w:val="6"/>
                <w:rFonts w:eastAsia="宋体"/>
                <w:lang w:val="en-US" w:eastAsia="zh-CN" w:bidi="ar"/>
              </w:rPr>
              <w:t>0.8N</w:t>
            </w:r>
            <w:r>
              <w:rPr>
                <w:rStyle w:val="9"/>
                <w:lang w:val="en-US" w:eastAsia="zh-CN" w:bidi="ar"/>
              </w:rPr>
              <w:t>＜</w:t>
            </w:r>
            <w:r>
              <w:rPr>
                <w:rStyle w:val="6"/>
                <w:rFonts w:eastAsia="宋体"/>
                <w:lang w:val="en-US" w:eastAsia="zh-CN" w:bidi="ar"/>
              </w:rPr>
              <w:t>X≤N</w:t>
            </w:r>
            <w:r>
              <w:rPr>
                <w:rStyle w:val="9"/>
                <w:lang w:val="en-US" w:eastAsia="zh-CN" w:bidi="ar"/>
              </w:rPr>
              <w:t>，得</w:t>
            </w:r>
            <w:r>
              <w:rPr>
                <w:rStyle w:val="6"/>
                <w:rFonts w:eastAsia="宋体"/>
                <w:lang w:val="en-US" w:eastAsia="zh-CN" w:bidi="ar"/>
              </w:rPr>
              <w:t>0.9</w:t>
            </w:r>
            <w:r>
              <w:rPr>
                <w:rStyle w:val="9"/>
                <w:lang w:val="en-US" w:eastAsia="zh-CN" w:bidi="ar"/>
              </w:rPr>
              <w:t>分；</w:t>
            </w:r>
            <w:r>
              <w:rPr>
                <w:rStyle w:val="6"/>
                <w:rFonts w:eastAsia="宋体"/>
                <w:lang w:val="en-US" w:eastAsia="zh-CN" w:bidi="ar"/>
              </w:rPr>
              <w:t>0.6N</w:t>
            </w:r>
            <w:r>
              <w:rPr>
                <w:rStyle w:val="9"/>
                <w:lang w:val="en-US" w:eastAsia="zh-CN" w:bidi="ar"/>
              </w:rPr>
              <w:t>＜</w:t>
            </w:r>
            <w:r>
              <w:rPr>
                <w:rStyle w:val="6"/>
                <w:rFonts w:eastAsia="宋体"/>
                <w:lang w:val="en-US" w:eastAsia="zh-CN" w:bidi="ar"/>
              </w:rPr>
              <w:t>X≤0.8N</w:t>
            </w:r>
            <w:r>
              <w:rPr>
                <w:rStyle w:val="9"/>
                <w:lang w:val="en-US" w:eastAsia="zh-CN" w:bidi="ar"/>
              </w:rPr>
              <w:t>，得</w:t>
            </w:r>
            <w:r>
              <w:rPr>
                <w:rStyle w:val="6"/>
                <w:rFonts w:eastAsia="宋体"/>
                <w:lang w:val="en-US" w:eastAsia="zh-CN" w:bidi="ar"/>
              </w:rPr>
              <w:t>0.6</w:t>
            </w:r>
            <w:r>
              <w:rPr>
                <w:rStyle w:val="9"/>
                <w:lang w:val="en-US" w:eastAsia="zh-CN" w:bidi="ar"/>
              </w:rPr>
              <w:t>分；</w:t>
            </w:r>
            <w:r>
              <w:rPr>
                <w:rStyle w:val="6"/>
                <w:rFonts w:eastAsia="宋体"/>
                <w:lang w:val="en-US" w:eastAsia="zh-CN" w:bidi="ar"/>
              </w:rPr>
              <w:t>X≤0.6N</w:t>
            </w:r>
            <w:r>
              <w:rPr>
                <w:rStyle w:val="9"/>
                <w:lang w:val="en-US" w:eastAsia="zh-CN" w:bidi="ar"/>
              </w:rPr>
              <w:t>，得</w:t>
            </w:r>
            <w:r>
              <w:rPr>
                <w:rStyle w:val="6"/>
                <w:rFonts w:eastAsia="宋体"/>
                <w:lang w:val="en-US" w:eastAsia="zh-CN" w:bidi="ar"/>
              </w:rPr>
              <w:t>0.3</w:t>
            </w:r>
            <w:r>
              <w:rPr>
                <w:rStyle w:val="9"/>
                <w:lang w:val="en-US" w:eastAsia="zh-CN" w:bidi="ar"/>
              </w:rPr>
              <w:t>分。</w:t>
            </w:r>
            <w:r>
              <w:rPr>
                <w:rStyle w:val="6"/>
                <w:rFonts w:eastAsia="宋体"/>
                <w:lang w:val="en-US" w:eastAsia="zh-CN" w:bidi="ar"/>
              </w:rPr>
              <w:br w:type="textWrapping"/>
            </w:r>
            <w:r>
              <w:rPr>
                <w:rStyle w:val="9"/>
                <w:lang w:val="en-US" w:eastAsia="zh-CN" w:bidi="ar"/>
              </w:rPr>
              <w:t>部门办公设备超最低使用年限资产利用率</w:t>
            </w:r>
            <w:r>
              <w:rPr>
                <w:rStyle w:val="6"/>
                <w:rFonts w:eastAsia="宋体"/>
                <w:lang w:val="en-US" w:eastAsia="zh-CN" w:bidi="ar"/>
              </w:rPr>
              <w:t>=</w:t>
            </w:r>
            <w:r>
              <w:rPr>
                <w:rStyle w:val="9"/>
                <w:lang w:val="en-US" w:eastAsia="zh-CN" w:bidi="ar"/>
              </w:rPr>
              <w:t>超最低使用年限的办公设备账面原值</w:t>
            </w:r>
            <w:r>
              <w:rPr>
                <w:rStyle w:val="6"/>
                <w:rFonts w:eastAsia="宋体"/>
                <w:lang w:val="en-US" w:eastAsia="zh-CN" w:bidi="ar"/>
              </w:rPr>
              <w:t>÷</w:t>
            </w:r>
            <w:r>
              <w:rPr>
                <w:rStyle w:val="9"/>
                <w:lang w:val="en-US" w:eastAsia="zh-CN" w:bidi="ar"/>
              </w:rPr>
              <w:t>办公设备账面原值</w:t>
            </w:r>
            <w:r>
              <w:rPr>
                <w:rStyle w:val="6"/>
                <w:rFonts w:eastAsia="宋体"/>
                <w:lang w:val="en-US" w:eastAsia="zh-CN" w:bidi="ar"/>
              </w:rPr>
              <w:t>×100%</w:t>
            </w:r>
            <w:r>
              <w:rPr>
                <w:rStyle w:val="9"/>
                <w:lang w:val="en-US" w:eastAsia="zh-CN" w:bidi="ar"/>
              </w:rPr>
              <w:t>。办公设备超最低使用年限资产利用率为</w:t>
            </w:r>
            <w:r>
              <w:rPr>
                <w:rStyle w:val="6"/>
                <w:rFonts w:eastAsia="宋体"/>
                <w:lang w:val="en-US" w:eastAsia="zh-CN" w:bidi="ar"/>
              </w:rPr>
              <w:t>X</w:t>
            </w:r>
            <w:r>
              <w:rPr>
                <w:rStyle w:val="9"/>
                <w:lang w:val="en-US" w:eastAsia="zh-CN" w:bidi="ar"/>
              </w:rPr>
              <w:t>，市直行政事业单位平均值为</w:t>
            </w:r>
            <w:r>
              <w:rPr>
                <w:rStyle w:val="6"/>
                <w:rFonts w:eastAsia="宋体"/>
                <w:lang w:val="en-US" w:eastAsia="zh-CN" w:bidi="ar"/>
              </w:rPr>
              <w:t>N</w:t>
            </w:r>
            <w:r>
              <w:rPr>
                <w:rStyle w:val="9"/>
                <w:lang w:val="en-US" w:eastAsia="zh-CN" w:bidi="ar"/>
              </w:rPr>
              <w:t>，则：</w:t>
            </w:r>
            <w:r>
              <w:rPr>
                <w:rStyle w:val="6"/>
                <w:rFonts w:eastAsia="宋体"/>
                <w:lang w:val="en-US" w:eastAsia="zh-CN" w:bidi="ar"/>
              </w:rPr>
              <w:t>X</w:t>
            </w:r>
            <w:r>
              <w:rPr>
                <w:rStyle w:val="9"/>
                <w:lang w:val="en-US" w:eastAsia="zh-CN" w:bidi="ar"/>
              </w:rPr>
              <w:t>＞</w:t>
            </w:r>
            <w:r>
              <w:rPr>
                <w:rStyle w:val="6"/>
                <w:rFonts w:eastAsia="宋体"/>
                <w:lang w:val="en-US" w:eastAsia="zh-CN" w:bidi="ar"/>
              </w:rPr>
              <w:t>N</w:t>
            </w:r>
            <w:r>
              <w:rPr>
                <w:rStyle w:val="9"/>
                <w:lang w:val="en-US" w:eastAsia="zh-CN" w:bidi="ar"/>
              </w:rPr>
              <w:t>，得</w:t>
            </w:r>
            <w:r>
              <w:rPr>
                <w:rStyle w:val="6"/>
                <w:rFonts w:eastAsia="宋体"/>
                <w:lang w:val="en-US" w:eastAsia="zh-CN" w:bidi="ar"/>
              </w:rPr>
              <w:t>1.5</w:t>
            </w:r>
            <w:r>
              <w:rPr>
                <w:rStyle w:val="9"/>
                <w:lang w:val="en-US" w:eastAsia="zh-CN" w:bidi="ar"/>
              </w:rPr>
              <w:t>分；</w:t>
            </w:r>
            <w:r>
              <w:rPr>
                <w:rStyle w:val="6"/>
                <w:rFonts w:eastAsia="宋体"/>
                <w:lang w:val="en-US" w:eastAsia="zh-CN" w:bidi="ar"/>
              </w:rPr>
              <w:t>0.8N</w:t>
            </w:r>
            <w:r>
              <w:rPr>
                <w:rStyle w:val="9"/>
                <w:lang w:val="en-US" w:eastAsia="zh-CN" w:bidi="ar"/>
              </w:rPr>
              <w:t>＜</w:t>
            </w:r>
            <w:r>
              <w:rPr>
                <w:rStyle w:val="6"/>
                <w:rFonts w:eastAsia="宋体"/>
                <w:lang w:val="en-US" w:eastAsia="zh-CN" w:bidi="ar"/>
              </w:rPr>
              <w:t>X≤N</w:t>
            </w:r>
            <w:r>
              <w:rPr>
                <w:rStyle w:val="9"/>
                <w:lang w:val="en-US" w:eastAsia="zh-CN" w:bidi="ar"/>
              </w:rPr>
              <w:t>，得</w:t>
            </w:r>
            <w:r>
              <w:rPr>
                <w:rStyle w:val="6"/>
                <w:rFonts w:eastAsia="宋体"/>
                <w:lang w:val="en-US" w:eastAsia="zh-CN" w:bidi="ar"/>
              </w:rPr>
              <w:t>0.9</w:t>
            </w:r>
            <w:r>
              <w:rPr>
                <w:rStyle w:val="9"/>
                <w:lang w:val="en-US" w:eastAsia="zh-CN" w:bidi="ar"/>
              </w:rPr>
              <w:t>分；</w:t>
            </w:r>
            <w:r>
              <w:rPr>
                <w:rStyle w:val="6"/>
                <w:rFonts w:eastAsia="宋体"/>
                <w:lang w:val="en-US" w:eastAsia="zh-CN" w:bidi="ar"/>
              </w:rPr>
              <w:t>0.6N</w:t>
            </w:r>
            <w:r>
              <w:rPr>
                <w:rStyle w:val="9"/>
                <w:lang w:val="en-US" w:eastAsia="zh-CN" w:bidi="ar"/>
              </w:rPr>
              <w:t>＜</w:t>
            </w:r>
            <w:r>
              <w:rPr>
                <w:rStyle w:val="6"/>
                <w:rFonts w:eastAsia="宋体"/>
                <w:lang w:val="en-US" w:eastAsia="zh-CN" w:bidi="ar"/>
              </w:rPr>
              <w:t>X≤0.8N</w:t>
            </w:r>
            <w:r>
              <w:rPr>
                <w:rStyle w:val="9"/>
                <w:lang w:val="en-US" w:eastAsia="zh-CN" w:bidi="ar"/>
              </w:rPr>
              <w:t>，得</w:t>
            </w:r>
            <w:r>
              <w:rPr>
                <w:rStyle w:val="6"/>
                <w:rFonts w:eastAsia="宋体"/>
                <w:lang w:val="en-US" w:eastAsia="zh-CN" w:bidi="ar"/>
              </w:rPr>
              <w:t>0.6</w:t>
            </w:r>
            <w:r>
              <w:rPr>
                <w:rStyle w:val="9"/>
                <w:lang w:val="en-US" w:eastAsia="zh-CN" w:bidi="ar"/>
              </w:rPr>
              <w:t>分；</w:t>
            </w:r>
            <w:r>
              <w:rPr>
                <w:rStyle w:val="6"/>
                <w:rFonts w:eastAsia="宋体"/>
                <w:lang w:val="en-US" w:eastAsia="zh-CN" w:bidi="ar"/>
              </w:rPr>
              <w:t>X≤0.6N</w:t>
            </w:r>
            <w:r>
              <w:rPr>
                <w:rStyle w:val="9"/>
                <w:lang w:val="en-US" w:eastAsia="zh-CN" w:bidi="ar"/>
              </w:rPr>
              <w:t>，得</w:t>
            </w:r>
            <w:r>
              <w:rPr>
                <w:rStyle w:val="6"/>
                <w:rFonts w:eastAsia="宋体"/>
                <w:lang w:val="en-US" w:eastAsia="zh-CN" w:bidi="ar"/>
              </w:rPr>
              <w:t>0.3</w:t>
            </w:r>
            <w:r>
              <w:rPr>
                <w:rStyle w:val="9"/>
                <w:lang w:val="en-US" w:eastAsia="zh-CN" w:bidi="ar"/>
              </w:rPr>
              <w:t>分。</w:t>
            </w:r>
            <w:r>
              <w:rPr>
                <w:rStyle w:val="6"/>
                <w:rFonts w:eastAsia="宋体"/>
                <w:lang w:val="en-US" w:eastAsia="zh-CN" w:bidi="ar"/>
              </w:rPr>
              <w:br w:type="textWrapping"/>
            </w:r>
            <w:r>
              <w:rPr>
                <w:rStyle w:val="10"/>
                <w:lang w:val="en-US" w:eastAsia="zh-CN" w:bidi="ar"/>
              </w:rPr>
              <w:t>（巴中市：</w:t>
            </w:r>
            <w:r>
              <w:rPr>
                <w:rStyle w:val="11"/>
                <w:rFonts w:eastAsia="宋体"/>
                <w:lang w:val="en-US" w:eastAsia="zh-CN" w:bidi="ar"/>
              </w:rPr>
              <w:t>2024</w:t>
            </w:r>
            <w:r>
              <w:rPr>
                <w:rStyle w:val="10"/>
                <w:lang w:val="en-US" w:eastAsia="zh-CN" w:bidi="ar"/>
              </w:rPr>
              <w:t>年市本级办公设备超最低使用年限资产利用率</w:t>
            </w:r>
            <w:r>
              <w:rPr>
                <w:rStyle w:val="11"/>
                <w:rFonts w:eastAsia="宋体"/>
                <w:lang w:val="en-US" w:eastAsia="zh-CN" w:bidi="ar"/>
              </w:rPr>
              <w:t>49.24%</w:t>
            </w:r>
            <w:r>
              <w:rPr>
                <w:rStyle w:val="10"/>
                <w:lang w:val="en-US" w:eastAsia="zh-CN" w:bidi="ar"/>
              </w:rPr>
              <w:t>，家具超最低使用年限资产利用率</w:t>
            </w:r>
            <w:r>
              <w:rPr>
                <w:rStyle w:val="11"/>
                <w:rFonts w:eastAsia="宋体"/>
                <w:lang w:val="en-US" w:eastAsia="zh-CN" w:bidi="ar"/>
              </w:rPr>
              <w:t>10.56%</w:t>
            </w:r>
            <w:r>
              <w:rPr>
                <w:rStyle w:val="10"/>
                <w:lang w:val="en-US" w:eastAsia="zh-CN" w:bidi="ar"/>
              </w:rPr>
              <w:t>。）</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AFB4">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A84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r>
      <w:tr w14:paraId="38A72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BAAA9">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956B">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C8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资产盘活率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726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5B6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部门闲置一年以上的资产盘活情况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E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分级评分法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9BF5">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部门闲置资产占比变化率</w:t>
            </w:r>
            <w:r>
              <w:rPr>
                <w:rStyle w:val="6"/>
                <w:rFonts w:eastAsia="宋体"/>
                <w:lang w:val="en-US" w:eastAsia="zh-CN" w:bidi="ar"/>
              </w:rPr>
              <w:t>=(</w:t>
            </w:r>
            <w:r>
              <w:rPr>
                <w:rStyle w:val="9"/>
                <w:lang w:val="en-US" w:eastAsia="zh-CN" w:bidi="ar"/>
              </w:rPr>
              <w:t>本年闲置资产账面价值</w:t>
            </w:r>
            <w:r>
              <w:rPr>
                <w:rStyle w:val="6"/>
                <w:rFonts w:eastAsia="宋体"/>
                <w:lang w:val="en-US" w:eastAsia="zh-CN" w:bidi="ar"/>
              </w:rPr>
              <w:t>÷</w:t>
            </w:r>
            <w:r>
              <w:rPr>
                <w:rStyle w:val="9"/>
                <w:lang w:val="en-US" w:eastAsia="zh-CN" w:bidi="ar"/>
              </w:rPr>
              <w:t>本年总资产账面价值</w:t>
            </w:r>
            <w:r>
              <w:rPr>
                <w:rStyle w:val="6"/>
                <w:rFonts w:eastAsia="宋体"/>
                <w:lang w:val="en-US" w:eastAsia="zh-CN" w:bidi="ar"/>
              </w:rPr>
              <w:t>)÷(</w:t>
            </w:r>
            <w:r>
              <w:rPr>
                <w:rStyle w:val="9"/>
                <w:lang w:val="en-US" w:eastAsia="zh-CN" w:bidi="ar"/>
              </w:rPr>
              <w:t>上一年度闲置资产账面价值</w:t>
            </w:r>
            <w:r>
              <w:rPr>
                <w:rStyle w:val="6"/>
                <w:rFonts w:eastAsia="宋体"/>
                <w:lang w:val="en-US" w:eastAsia="zh-CN" w:bidi="ar"/>
              </w:rPr>
              <w:t>÷</w:t>
            </w:r>
            <w:r>
              <w:rPr>
                <w:rStyle w:val="9"/>
                <w:lang w:val="en-US" w:eastAsia="zh-CN" w:bidi="ar"/>
              </w:rPr>
              <w:t>上一年度总资产账面价值</w:t>
            </w:r>
            <w:r>
              <w:rPr>
                <w:rStyle w:val="6"/>
                <w:rFonts w:eastAsia="宋体"/>
                <w:lang w:val="en-US" w:eastAsia="zh-CN" w:bidi="ar"/>
              </w:rPr>
              <w:t>)×100%</w:t>
            </w:r>
            <w:r>
              <w:rPr>
                <w:rStyle w:val="9"/>
                <w:lang w:val="en-US" w:eastAsia="zh-CN" w:bidi="ar"/>
              </w:rPr>
              <w:t>，变化率在</w:t>
            </w:r>
            <w:r>
              <w:rPr>
                <w:rStyle w:val="6"/>
                <w:rFonts w:eastAsia="宋体"/>
                <w:lang w:val="en-US" w:eastAsia="zh-CN" w:bidi="ar"/>
              </w:rPr>
              <w:t>60%</w:t>
            </w:r>
            <w:r>
              <w:rPr>
                <w:rStyle w:val="9"/>
                <w:lang w:val="en-US" w:eastAsia="zh-CN" w:bidi="ar"/>
              </w:rPr>
              <w:t>以下的得</w:t>
            </w:r>
            <w:r>
              <w:rPr>
                <w:rStyle w:val="6"/>
                <w:rFonts w:eastAsia="宋体"/>
                <w:lang w:val="en-US" w:eastAsia="zh-CN" w:bidi="ar"/>
              </w:rPr>
              <w:t>2.4</w:t>
            </w:r>
            <w:r>
              <w:rPr>
                <w:rStyle w:val="9"/>
                <w:lang w:val="en-US" w:eastAsia="zh-CN" w:bidi="ar"/>
              </w:rPr>
              <w:t>分，</w:t>
            </w:r>
            <w:r>
              <w:rPr>
                <w:rStyle w:val="6"/>
                <w:rFonts w:eastAsia="宋体"/>
                <w:lang w:val="en-US" w:eastAsia="zh-CN" w:bidi="ar"/>
              </w:rPr>
              <w:t>60%-80%</w:t>
            </w:r>
            <w:r>
              <w:rPr>
                <w:rStyle w:val="9"/>
                <w:lang w:val="en-US" w:eastAsia="zh-CN" w:bidi="ar"/>
              </w:rPr>
              <w:t>的得</w:t>
            </w:r>
            <w:r>
              <w:rPr>
                <w:rStyle w:val="6"/>
                <w:rFonts w:eastAsia="宋体"/>
                <w:lang w:val="en-US" w:eastAsia="zh-CN" w:bidi="ar"/>
              </w:rPr>
              <w:t>1.8</w:t>
            </w:r>
            <w:r>
              <w:rPr>
                <w:rStyle w:val="9"/>
                <w:lang w:val="en-US" w:eastAsia="zh-CN" w:bidi="ar"/>
              </w:rPr>
              <w:t>分，</w:t>
            </w:r>
            <w:r>
              <w:rPr>
                <w:rStyle w:val="6"/>
                <w:rFonts w:eastAsia="宋体"/>
                <w:lang w:val="en-US" w:eastAsia="zh-CN" w:bidi="ar"/>
              </w:rPr>
              <w:t>80-100%</w:t>
            </w:r>
            <w:r>
              <w:rPr>
                <w:rStyle w:val="9"/>
                <w:lang w:val="en-US" w:eastAsia="zh-CN" w:bidi="ar"/>
              </w:rPr>
              <w:t>的得</w:t>
            </w:r>
            <w:r>
              <w:rPr>
                <w:rStyle w:val="6"/>
                <w:rFonts w:eastAsia="宋体"/>
                <w:lang w:val="en-US" w:eastAsia="zh-CN" w:bidi="ar"/>
              </w:rPr>
              <w:t>1.2</w:t>
            </w:r>
            <w:r>
              <w:rPr>
                <w:rStyle w:val="9"/>
                <w:lang w:val="en-US" w:eastAsia="zh-CN" w:bidi="ar"/>
              </w:rPr>
              <w:t>分，</w:t>
            </w:r>
            <w:r>
              <w:rPr>
                <w:rStyle w:val="6"/>
                <w:rFonts w:eastAsia="宋体"/>
                <w:lang w:val="en-US" w:eastAsia="zh-CN" w:bidi="ar"/>
              </w:rPr>
              <w:t>100%</w:t>
            </w:r>
            <w:r>
              <w:rPr>
                <w:rStyle w:val="9"/>
                <w:lang w:val="en-US" w:eastAsia="zh-CN" w:bidi="ar"/>
              </w:rPr>
              <w:t>以上的不得分。两年均无闲置资产或上年度有闲置资产评价年度无闲置资产的，该项指标得</w:t>
            </w:r>
            <w:r>
              <w:rPr>
                <w:rStyle w:val="6"/>
                <w:rFonts w:eastAsia="宋体"/>
                <w:lang w:val="en-US" w:eastAsia="zh-CN" w:bidi="ar"/>
              </w:rPr>
              <w:t>3</w:t>
            </w:r>
            <w:r>
              <w:rPr>
                <w:rStyle w:val="9"/>
                <w:lang w:val="en-US" w:eastAsia="zh-CN" w:bidi="ar"/>
              </w:rPr>
              <w:t>分。</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5ECC">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2E9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r>
      <w:tr w14:paraId="6FC98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8"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F390C">
            <w:pPr>
              <w:jc w:val="center"/>
              <w:rPr>
                <w:rFonts w:hint="default" w:ascii="Times New Roman" w:hAnsi="Times New Roman" w:eastAsia="宋体" w:cs="Times New Roman"/>
                <w:b/>
                <w:bCs/>
                <w:i w:val="0"/>
                <w:iCs w:val="0"/>
                <w:color w:val="000000"/>
                <w:sz w:val="24"/>
                <w:szCs w:val="24"/>
                <w:u w:val="none"/>
              </w:rPr>
            </w:pP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72DF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采购管理</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6</w:t>
            </w:r>
            <w:r>
              <w:rPr>
                <w:rStyle w:val="7"/>
                <w:lang w:val="en-US" w:eastAsia="zh-CN" w:bidi="ar"/>
              </w:rPr>
              <w:t>分）</w:t>
            </w: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1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支持中小企业发展</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7D4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20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部门是否严格执行政府采购促进中小企业发展相关管理办法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1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是否评分法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5983">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对适宜由中小企业提供的采购项目和采购包，预留采购份额专门面向中小企业采购，并在采购预算中单独列示，不符合要求的扣</w:t>
            </w:r>
            <w:r>
              <w:rPr>
                <w:rStyle w:val="6"/>
                <w:rFonts w:eastAsia="宋体"/>
                <w:lang w:val="en-US" w:eastAsia="zh-CN" w:bidi="ar"/>
              </w:rPr>
              <w:t>3</w:t>
            </w:r>
            <w:r>
              <w:rPr>
                <w:rStyle w:val="9"/>
                <w:lang w:val="en-US" w:eastAsia="zh-CN" w:bidi="ar"/>
              </w:rPr>
              <w:t>分。</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CFF5">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8EB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r>
      <w:tr w14:paraId="43ED0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17222">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90F4E">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21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采购执行率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19B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418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部门政府采购项目资金支付比例情况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C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F8A2">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该项指标得分</w:t>
            </w:r>
            <w:r>
              <w:rPr>
                <w:rStyle w:val="6"/>
                <w:rFonts w:eastAsia="宋体"/>
                <w:lang w:val="en-US" w:eastAsia="zh-CN" w:bidi="ar"/>
              </w:rPr>
              <w:t>=</w:t>
            </w:r>
            <w:r>
              <w:rPr>
                <w:rStyle w:val="9"/>
                <w:lang w:val="en-US" w:eastAsia="zh-CN" w:bidi="ar"/>
              </w:rPr>
              <w:t>当年政府采购实际支付总金额</w:t>
            </w:r>
            <w:r>
              <w:rPr>
                <w:rStyle w:val="6"/>
                <w:rFonts w:eastAsia="宋体"/>
                <w:lang w:val="en-US" w:eastAsia="zh-CN" w:bidi="ar"/>
              </w:rPr>
              <w:t>÷</w:t>
            </w:r>
            <w:r>
              <w:rPr>
                <w:rStyle w:val="9"/>
                <w:lang w:val="en-US" w:eastAsia="zh-CN" w:bidi="ar"/>
              </w:rPr>
              <w:t>（当年政府采购总预算数</w:t>
            </w:r>
            <w:r>
              <w:rPr>
                <w:rStyle w:val="6"/>
                <w:rFonts w:eastAsia="宋体"/>
                <w:lang w:val="en-US" w:eastAsia="zh-CN" w:bidi="ar"/>
              </w:rPr>
              <w:t>-</w:t>
            </w:r>
            <w:r>
              <w:rPr>
                <w:rStyle w:val="9"/>
                <w:lang w:val="en-US" w:eastAsia="zh-CN" w:bidi="ar"/>
              </w:rPr>
              <w:t>当年已完成采购项目节约金额）</w:t>
            </w:r>
            <w:r>
              <w:rPr>
                <w:rStyle w:val="6"/>
                <w:rFonts w:eastAsia="宋体"/>
                <w:lang w:val="en-US" w:eastAsia="zh-CN" w:bidi="ar"/>
              </w:rPr>
              <w:t>×100%×3</w:t>
            </w:r>
            <w:r>
              <w:rPr>
                <w:rStyle w:val="9"/>
                <w:lang w:val="en-US" w:eastAsia="zh-CN" w:bidi="ar"/>
              </w:rPr>
              <w:t>。</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0A1E">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5DA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r>
      <w:tr w14:paraId="46C53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61B6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项目绩效</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35</w:t>
            </w:r>
            <w:r>
              <w:rPr>
                <w:rStyle w:val="7"/>
                <w:lang w:val="en-US" w:eastAsia="zh-CN" w:bidi="ar"/>
              </w:rPr>
              <w:t>分）</w:t>
            </w:r>
          </w:p>
        </w:tc>
        <w:tc>
          <w:tcPr>
            <w:tcW w:w="833" w:type="dxa"/>
            <w:vMerge w:val="restart"/>
            <w:tcBorders>
              <w:top w:val="single" w:color="000000" w:sz="4" w:space="0"/>
              <w:left w:val="single" w:color="000000" w:sz="4" w:space="0"/>
              <w:bottom w:val="nil"/>
              <w:right w:val="single" w:color="000000" w:sz="4" w:space="0"/>
            </w:tcBorders>
            <w:shd w:val="clear" w:color="auto" w:fill="auto"/>
            <w:vAlign w:val="center"/>
          </w:tcPr>
          <w:p w14:paraId="7EA7B4E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项目决策</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12</w:t>
            </w:r>
            <w:r>
              <w:rPr>
                <w:rStyle w:val="7"/>
                <w:lang w:val="en-US" w:eastAsia="zh-CN" w:bidi="ar"/>
              </w:rPr>
              <w:t>分）</w:t>
            </w: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9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决策程序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C6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9F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部门预算项目设立是否按规定履行评估论证、申报程序</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0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E6E7">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该项指标得分</w:t>
            </w:r>
            <w:r>
              <w:rPr>
                <w:rStyle w:val="6"/>
                <w:rFonts w:eastAsia="宋体"/>
                <w:lang w:val="en-US" w:eastAsia="zh-CN" w:bidi="ar"/>
              </w:rPr>
              <w:t>=4-</w:t>
            </w:r>
            <w:r>
              <w:rPr>
                <w:rStyle w:val="9"/>
                <w:lang w:val="en-US" w:eastAsia="zh-CN" w:bidi="ar"/>
              </w:rPr>
              <w:t>部门未履行事前评估程序的部门预算阶段项目（含一次性项目）数量</w:t>
            </w:r>
            <w:r>
              <w:rPr>
                <w:rStyle w:val="6"/>
                <w:rFonts w:eastAsia="宋体"/>
                <w:lang w:val="en-US" w:eastAsia="zh-CN" w:bidi="ar"/>
              </w:rPr>
              <w:t>÷</w:t>
            </w:r>
            <w:r>
              <w:rPr>
                <w:rStyle w:val="9"/>
                <w:lang w:val="en-US" w:eastAsia="zh-CN" w:bidi="ar"/>
              </w:rPr>
              <w:t>部门预算阶段项目（含一次性项目）总数</w:t>
            </w:r>
            <w:r>
              <w:rPr>
                <w:rStyle w:val="6"/>
                <w:rFonts w:eastAsia="宋体"/>
                <w:lang w:val="en-US" w:eastAsia="zh-CN" w:bidi="ar"/>
              </w:rPr>
              <w:t>×100%×4</w:t>
            </w:r>
            <w:r>
              <w:rPr>
                <w:rStyle w:val="9"/>
                <w:lang w:val="en-US" w:eastAsia="zh-CN" w:bidi="ar"/>
              </w:rPr>
              <w:t>。抽评的部门预算阶段项目（含一次性项目）总数</w:t>
            </w:r>
            <w:r>
              <w:rPr>
                <w:rStyle w:val="6"/>
                <w:rFonts w:eastAsia="宋体"/>
                <w:lang w:val="en-US" w:eastAsia="zh-CN" w:bidi="ar"/>
              </w:rPr>
              <w:t>10</w:t>
            </w:r>
            <w:r>
              <w:rPr>
                <w:rStyle w:val="9"/>
                <w:lang w:val="en-US" w:eastAsia="zh-CN" w:bidi="ar"/>
              </w:rPr>
              <w:t>个以下的全部纳入，每增加</w:t>
            </w:r>
            <w:r>
              <w:rPr>
                <w:rStyle w:val="6"/>
                <w:rFonts w:eastAsia="宋体"/>
                <w:lang w:val="en-US" w:eastAsia="zh-CN" w:bidi="ar"/>
              </w:rPr>
              <w:t>5</w:t>
            </w:r>
            <w:r>
              <w:rPr>
                <w:rStyle w:val="9"/>
                <w:lang w:val="en-US" w:eastAsia="zh-CN" w:bidi="ar"/>
              </w:rPr>
              <w:t>个多纳入</w:t>
            </w:r>
            <w:r>
              <w:rPr>
                <w:rStyle w:val="6"/>
                <w:rFonts w:eastAsia="宋体"/>
                <w:lang w:val="en-US" w:eastAsia="zh-CN" w:bidi="ar"/>
              </w:rPr>
              <w:t>1</w:t>
            </w:r>
            <w:r>
              <w:rPr>
                <w:rStyle w:val="9"/>
                <w:lang w:val="en-US" w:eastAsia="zh-CN" w:bidi="ar"/>
              </w:rPr>
              <w:t>个，最多不超过</w:t>
            </w:r>
            <w:r>
              <w:rPr>
                <w:rStyle w:val="6"/>
                <w:rFonts w:eastAsia="宋体"/>
                <w:lang w:val="en-US" w:eastAsia="zh-CN" w:bidi="ar"/>
              </w:rPr>
              <w:t>30</w:t>
            </w:r>
            <w:r>
              <w:rPr>
                <w:rStyle w:val="9"/>
                <w:lang w:val="en-US" w:eastAsia="zh-CN" w:bidi="ar"/>
              </w:rPr>
              <w:t>个，下同。若无部门预算阶段项目（含一次性项目），则主要查看部门预算项目整体决策程序。</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2CAC">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C2F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5CD62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93276">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nil"/>
              <w:right w:val="single" w:color="000000" w:sz="4" w:space="0"/>
            </w:tcBorders>
            <w:shd w:val="clear" w:color="auto" w:fill="auto"/>
            <w:vAlign w:val="center"/>
          </w:tcPr>
          <w:p w14:paraId="7C43BBBE">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6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目标设置</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857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354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D7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38A1">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该项指标得分</w:t>
            </w:r>
            <w:r>
              <w:rPr>
                <w:rStyle w:val="6"/>
                <w:rFonts w:eastAsia="宋体"/>
                <w:lang w:val="en-US" w:eastAsia="zh-CN" w:bidi="ar"/>
              </w:rPr>
              <w:t>=4-</w:t>
            </w:r>
            <w:r>
              <w:rPr>
                <w:rStyle w:val="9"/>
                <w:lang w:val="en-US" w:eastAsia="zh-CN" w:bidi="ar"/>
              </w:rPr>
              <w:t>绩效目标与计划期内的任务量、预算安排不相匹配的部门预算阶段项目（含一次性项目）数量</w:t>
            </w:r>
            <w:r>
              <w:rPr>
                <w:rStyle w:val="6"/>
                <w:rFonts w:eastAsia="宋体"/>
                <w:lang w:val="en-US" w:eastAsia="zh-CN" w:bidi="ar"/>
              </w:rPr>
              <w:t>÷</w:t>
            </w:r>
            <w:r>
              <w:rPr>
                <w:rStyle w:val="9"/>
                <w:lang w:val="en-US" w:eastAsia="zh-CN" w:bidi="ar"/>
              </w:rPr>
              <w:t>部门预算阶段项目（含一次性项目）总数</w:t>
            </w:r>
            <w:r>
              <w:rPr>
                <w:rStyle w:val="6"/>
                <w:rFonts w:eastAsia="宋体"/>
                <w:lang w:val="en-US" w:eastAsia="zh-CN" w:bidi="ar"/>
              </w:rPr>
              <w:t>×100%×4</w:t>
            </w:r>
            <w:r>
              <w:rPr>
                <w:rStyle w:val="9"/>
                <w:lang w:val="en-US" w:eastAsia="zh-CN" w:bidi="ar"/>
              </w:rPr>
              <w:t>。若无部门预算阶段项目（含一次性项目），则抽评涉及核心业务、资金量大的其他部门预算项目，下同。</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ABDF">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D91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5CC56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4"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9F1D3">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nil"/>
              <w:right w:val="single" w:color="000000" w:sz="4" w:space="0"/>
            </w:tcBorders>
            <w:shd w:val="clear" w:color="auto" w:fill="auto"/>
            <w:vAlign w:val="center"/>
          </w:tcPr>
          <w:p w14:paraId="5504AFB1">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7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项目入库</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28C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A31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部门预算项目是否在规定时间完成项目入库</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69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DFB4B">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该项指标得分</w:t>
            </w:r>
            <w:r>
              <w:rPr>
                <w:rStyle w:val="6"/>
                <w:rFonts w:eastAsia="宋体"/>
                <w:lang w:val="en-US" w:eastAsia="zh-CN" w:bidi="ar"/>
              </w:rPr>
              <w:t>=4-</w:t>
            </w:r>
            <w:r>
              <w:rPr>
                <w:rStyle w:val="9"/>
                <w:lang w:val="en-US" w:eastAsia="zh-CN" w:bidi="ar"/>
              </w:rPr>
              <w:t>规定时间未入财政库部门预算阶段项目（含一次性项目）数量</w:t>
            </w:r>
            <w:r>
              <w:rPr>
                <w:rStyle w:val="6"/>
                <w:rFonts w:eastAsia="宋体"/>
                <w:lang w:val="en-US" w:eastAsia="zh-CN" w:bidi="ar"/>
              </w:rPr>
              <w:t>÷</w:t>
            </w:r>
            <w:r>
              <w:rPr>
                <w:rStyle w:val="9"/>
                <w:lang w:val="en-US" w:eastAsia="zh-CN" w:bidi="ar"/>
              </w:rPr>
              <w:t>最终安排部门预算阶段项目（含一次性项目）总数</w:t>
            </w:r>
            <w:r>
              <w:rPr>
                <w:rStyle w:val="6"/>
                <w:rFonts w:eastAsia="宋体"/>
                <w:lang w:val="en-US" w:eastAsia="zh-CN" w:bidi="ar"/>
              </w:rPr>
              <w:t>×100%×4</w:t>
            </w:r>
            <w:r>
              <w:rPr>
                <w:rStyle w:val="9"/>
                <w:lang w:val="en-US" w:eastAsia="zh-CN" w:bidi="ar"/>
              </w:rPr>
              <w:t>。规定时间以当年</w:t>
            </w:r>
            <w:r>
              <w:rPr>
                <w:rStyle w:val="6"/>
                <w:rFonts w:eastAsia="宋体"/>
                <w:lang w:val="en-US" w:eastAsia="zh-CN" w:bidi="ar"/>
              </w:rPr>
              <w:t>9</w:t>
            </w:r>
            <w:r>
              <w:rPr>
                <w:rStyle w:val="9"/>
                <w:lang w:val="en-US" w:eastAsia="zh-CN" w:bidi="ar"/>
              </w:rPr>
              <w:t>月</w:t>
            </w:r>
            <w:r>
              <w:rPr>
                <w:rStyle w:val="6"/>
                <w:rFonts w:eastAsia="宋体"/>
                <w:lang w:val="en-US" w:eastAsia="zh-CN" w:bidi="ar"/>
              </w:rPr>
              <w:t>30</w:t>
            </w:r>
            <w:r>
              <w:rPr>
                <w:rStyle w:val="9"/>
                <w:lang w:val="en-US" w:eastAsia="zh-CN" w:bidi="ar"/>
              </w:rPr>
              <w:t>日为准。</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A882">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3E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4837E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8"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49177">
            <w:pPr>
              <w:jc w:val="center"/>
              <w:rPr>
                <w:rFonts w:hint="default" w:ascii="Times New Roman" w:hAnsi="Times New Roman" w:eastAsia="宋体" w:cs="Times New Roman"/>
                <w:b/>
                <w:bCs/>
                <w:i w:val="0"/>
                <w:iCs w:val="0"/>
                <w:color w:val="000000"/>
                <w:sz w:val="24"/>
                <w:szCs w:val="24"/>
                <w:u w:val="none"/>
              </w:rPr>
            </w:pPr>
          </w:p>
        </w:tc>
        <w:tc>
          <w:tcPr>
            <w:tcW w:w="833" w:type="dxa"/>
            <w:vMerge w:val="restart"/>
            <w:tcBorders>
              <w:top w:val="single" w:color="000000" w:sz="4" w:space="0"/>
              <w:left w:val="single" w:color="000000" w:sz="4" w:space="0"/>
              <w:bottom w:val="nil"/>
              <w:right w:val="single" w:color="000000" w:sz="4" w:space="0"/>
            </w:tcBorders>
            <w:shd w:val="clear" w:color="auto" w:fill="auto"/>
            <w:vAlign w:val="center"/>
          </w:tcPr>
          <w:p w14:paraId="3078983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项目执行</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12</w:t>
            </w:r>
            <w:r>
              <w:rPr>
                <w:rStyle w:val="7"/>
                <w:lang w:val="en-US" w:eastAsia="zh-CN" w:bidi="ar"/>
              </w:rPr>
              <w:t>分）</w:t>
            </w: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83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执行同向</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CB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FC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部门预算项目实际列支内容是否与绩效目标设置方向相符</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F2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BDEC">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该项指标得分</w:t>
            </w:r>
            <w:r>
              <w:rPr>
                <w:rStyle w:val="6"/>
                <w:rFonts w:eastAsia="宋体"/>
                <w:lang w:val="en-US" w:eastAsia="zh-CN" w:bidi="ar"/>
              </w:rPr>
              <w:t>=4-</w:t>
            </w:r>
            <w:r>
              <w:rPr>
                <w:rStyle w:val="9"/>
                <w:lang w:val="en-US" w:eastAsia="zh-CN" w:bidi="ar"/>
              </w:rPr>
              <w:t>实际列支内容与绩效目标设置方向不相符的部门预算阶段项目（含一次性项目）数量</w:t>
            </w:r>
            <w:r>
              <w:rPr>
                <w:rStyle w:val="6"/>
                <w:rFonts w:eastAsia="宋体"/>
                <w:lang w:val="en-US" w:eastAsia="zh-CN" w:bidi="ar"/>
              </w:rPr>
              <w:t>÷</w:t>
            </w:r>
            <w:r>
              <w:rPr>
                <w:rStyle w:val="9"/>
                <w:lang w:val="en-US" w:eastAsia="zh-CN" w:bidi="ar"/>
              </w:rPr>
              <w:t>部门预算阶段项目（含一次性项目）总数</w:t>
            </w:r>
            <w:r>
              <w:rPr>
                <w:rStyle w:val="6"/>
                <w:rFonts w:eastAsia="宋体"/>
                <w:lang w:val="en-US" w:eastAsia="zh-CN" w:bidi="ar"/>
              </w:rPr>
              <w:t>×100%×4</w:t>
            </w:r>
            <w:r>
              <w:rPr>
                <w:rStyle w:val="9"/>
                <w:lang w:val="en-US" w:eastAsia="zh-CN" w:bidi="ar"/>
              </w:rPr>
              <w:t>。</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03B7">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D14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1189B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26F23">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nil"/>
              <w:right w:val="single" w:color="000000" w:sz="4" w:space="0"/>
            </w:tcBorders>
            <w:shd w:val="clear" w:color="auto" w:fill="auto"/>
            <w:vAlign w:val="center"/>
          </w:tcPr>
          <w:p w14:paraId="1535BA39">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nil"/>
              <w:right w:val="single" w:color="000000" w:sz="4" w:space="0"/>
            </w:tcBorders>
            <w:shd w:val="clear" w:color="auto" w:fill="auto"/>
            <w:vAlign w:val="center"/>
          </w:tcPr>
          <w:p w14:paraId="1B76E1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项目调整</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4B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51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部门预算项目是否采取对应调整措施</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BC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4455">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该项指标得分</w:t>
            </w:r>
            <w:r>
              <w:rPr>
                <w:rStyle w:val="6"/>
                <w:rFonts w:eastAsia="宋体"/>
                <w:lang w:val="en-US" w:eastAsia="zh-CN" w:bidi="ar"/>
              </w:rPr>
              <w:t>=4-</w:t>
            </w:r>
            <w:r>
              <w:rPr>
                <w:rStyle w:val="9"/>
                <w:lang w:val="en-US" w:eastAsia="zh-CN" w:bidi="ar"/>
              </w:rPr>
              <w:t>应采取未采取收回预算、调整目标等处置措施的部门预算阶段项目（含一次性项目）数量</w:t>
            </w:r>
            <w:r>
              <w:rPr>
                <w:rStyle w:val="6"/>
                <w:rFonts w:eastAsia="宋体"/>
                <w:lang w:val="en-US" w:eastAsia="zh-CN" w:bidi="ar"/>
              </w:rPr>
              <w:t>÷</w:t>
            </w:r>
            <w:r>
              <w:rPr>
                <w:rStyle w:val="9"/>
                <w:lang w:val="en-US" w:eastAsia="zh-CN" w:bidi="ar"/>
              </w:rPr>
              <w:t>应采取收回预算、调整目标等处置措施的部门预算阶段项目（含一次性项目）总数</w:t>
            </w:r>
            <w:r>
              <w:rPr>
                <w:rStyle w:val="6"/>
                <w:rFonts w:eastAsia="宋体"/>
                <w:lang w:val="en-US" w:eastAsia="zh-CN" w:bidi="ar"/>
              </w:rPr>
              <w:t>×100%×4</w:t>
            </w:r>
            <w:r>
              <w:rPr>
                <w:rStyle w:val="9"/>
                <w:lang w:val="en-US" w:eastAsia="zh-CN" w:bidi="ar"/>
              </w:rPr>
              <w:t>。</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6AF5">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57E3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13CD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3"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76F43">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nil"/>
              <w:right w:val="single" w:color="000000" w:sz="4" w:space="0"/>
            </w:tcBorders>
            <w:shd w:val="clear" w:color="auto" w:fill="auto"/>
            <w:vAlign w:val="center"/>
          </w:tcPr>
          <w:p w14:paraId="6F005FF6">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F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执行结果</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AF7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156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部门预算项目预算执行情况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45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DBCA">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该项指标得分</w:t>
            </w:r>
            <w:r>
              <w:rPr>
                <w:rStyle w:val="6"/>
                <w:rFonts w:eastAsia="宋体"/>
                <w:lang w:val="en-US" w:eastAsia="zh-CN" w:bidi="ar"/>
              </w:rPr>
              <w:t>=</w:t>
            </w:r>
            <w:r>
              <w:rPr>
                <w:rStyle w:val="9"/>
                <w:lang w:val="en-US" w:eastAsia="zh-CN" w:bidi="ar"/>
              </w:rPr>
              <w:t>预算结余率小于</w:t>
            </w:r>
            <w:r>
              <w:rPr>
                <w:rStyle w:val="6"/>
                <w:rFonts w:eastAsia="宋体"/>
                <w:lang w:val="en-US" w:eastAsia="zh-CN" w:bidi="ar"/>
              </w:rPr>
              <w:t>10%</w:t>
            </w:r>
            <w:r>
              <w:rPr>
                <w:rStyle w:val="9"/>
                <w:lang w:val="en-US" w:eastAsia="zh-CN" w:bidi="ar"/>
              </w:rPr>
              <w:t>的常年项目数量</w:t>
            </w:r>
            <w:r>
              <w:rPr>
                <w:rStyle w:val="6"/>
                <w:rFonts w:eastAsia="宋体"/>
                <w:lang w:val="en-US" w:eastAsia="zh-CN" w:bidi="ar"/>
              </w:rPr>
              <w:t>÷</w:t>
            </w:r>
            <w:r>
              <w:rPr>
                <w:rStyle w:val="9"/>
                <w:lang w:val="en-US" w:eastAsia="zh-CN" w:bidi="ar"/>
              </w:rPr>
              <w:t>部门预算常年项目总数</w:t>
            </w:r>
            <w:r>
              <w:rPr>
                <w:rStyle w:val="6"/>
                <w:rFonts w:eastAsia="宋体"/>
                <w:lang w:val="en-US" w:eastAsia="zh-CN" w:bidi="ar"/>
              </w:rPr>
              <w:t>×100%×2+</w:t>
            </w:r>
            <w:r>
              <w:rPr>
                <w:rStyle w:val="9"/>
                <w:lang w:val="en-US" w:eastAsia="zh-CN" w:bidi="ar"/>
              </w:rPr>
              <w:t>预算结余率小于</w:t>
            </w:r>
            <w:r>
              <w:rPr>
                <w:rStyle w:val="6"/>
                <w:rFonts w:eastAsia="宋体"/>
                <w:lang w:val="en-US" w:eastAsia="zh-CN" w:bidi="ar"/>
              </w:rPr>
              <w:t>10%</w:t>
            </w:r>
            <w:r>
              <w:rPr>
                <w:rStyle w:val="9"/>
                <w:lang w:val="en-US" w:eastAsia="zh-CN" w:bidi="ar"/>
              </w:rPr>
              <w:t>的一次性项目和阶段项目数量</w:t>
            </w:r>
            <w:r>
              <w:rPr>
                <w:rStyle w:val="6"/>
                <w:rFonts w:eastAsia="宋体"/>
                <w:lang w:val="en-US" w:eastAsia="zh-CN" w:bidi="ar"/>
              </w:rPr>
              <w:t>÷</w:t>
            </w:r>
            <w:r>
              <w:rPr>
                <w:rStyle w:val="9"/>
                <w:lang w:val="en-US" w:eastAsia="zh-CN" w:bidi="ar"/>
              </w:rPr>
              <w:t>部门预算一次性项目和阶段项目总数</w:t>
            </w:r>
            <w:r>
              <w:rPr>
                <w:rStyle w:val="6"/>
                <w:rFonts w:eastAsia="宋体"/>
                <w:lang w:val="en-US" w:eastAsia="zh-CN" w:bidi="ar"/>
              </w:rPr>
              <w:t>×100%×2</w:t>
            </w:r>
            <w:r>
              <w:rPr>
                <w:rStyle w:val="9"/>
                <w:lang w:val="en-US" w:eastAsia="zh-CN" w:bidi="ar"/>
              </w:rPr>
              <w:t>。</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37FB">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D58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4D64D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BA7CA">
            <w:pPr>
              <w:jc w:val="center"/>
              <w:rPr>
                <w:rFonts w:hint="default" w:ascii="Times New Roman" w:hAnsi="Times New Roman" w:eastAsia="宋体" w:cs="Times New Roman"/>
                <w:b/>
                <w:bCs/>
                <w:i w:val="0"/>
                <w:iCs w:val="0"/>
                <w:color w:val="000000"/>
                <w:sz w:val="24"/>
                <w:szCs w:val="24"/>
                <w:u w:val="none"/>
              </w:rPr>
            </w:pP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A50C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目标实现</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11</w:t>
            </w:r>
            <w:r>
              <w:rPr>
                <w:rStyle w:val="7"/>
                <w:lang w:val="en-US" w:eastAsia="zh-CN" w:bidi="ar"/>
              </w:rPr>
              <w:t>分）</w:t>
            </w: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C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目标完成</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2D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061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部门预算项目绩效目标数量指标完成情况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29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0312">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该项指标得分</w:t>
            </w:r>
            <w:r>
              <w:rPr>
                <w:rStyle w:val="6"/>
                <w:rFonts w:eastAsia="宋体"/>
                <w:lang w:val="en-US" w:eastAsia="zh-CN" w:bidi="ar"/>
              </w:rPr>
              <w:t>=</w:t>
            </w:r>
            <w:r>
              <w:rPr>
                <w:rStyle w:val="9"/>
                <w:lang w:val="en-US" w:eastAsia="zh-CN" w:bidi="ar"/>
              </w:rPr>
              <w:t>完成绩效目标数量指标的部门预算阶段项目（含一次性项目）数量</w:t>
            </w:r>
            <w:r>
              <w:rPr>
                <w:rStyle w:val="6"/>
                <w:rFonts w:eastAsia="宋体"/>
                <w:lang w:val="en-US" w:eastAsia="zh-CN" w:bidi="ar"/>
              </w:rPr>
              <w:t>÷</w:t>
            </w:r>
            <w:r>
              <w:rPr>
                <w:rStyle w:val="9"/>
                <w:lang w:val="en-US" w:eastAsia="zh-CN" w:bidi="ar"/>
              </w:rPr>
              <w:t>部门预算阶段项目（含一次性项目）总数</w:t>
            </w:r>
            <w:r>
              <w:rPr>
                <w:rStyle w:val="6"/>
                <w:rFonts w:eastAsia="宋体"/>
                <w:lang w:val="en-US" w:eastAsia="zh-CN" w:bidi="ar"/>
              </w:rPr>
              <w:t>×100%×4</w:t>
            </w:r>
            <w:r>
              <w:rPr>
                <w:rStyle w:val="9"/>
                <w:lang w:val="en-US" w:eastAsia="zh-CN" w:bidi="ar"/>
              </w:rPr>
              <w:t>。</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D783">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946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09883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8" w:hRule="atLeast"/>
        </w:trPr>
        <w:tc>
          <w:tcPr>
            <w:tcW w:w="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32239">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48297">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7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目标偏离</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923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563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部门预算项目绩效目标数量指标实现程度与预期目标的偏离情况</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11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5D2A">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该项指标得分</w:t>
            </w:r>
            <w:r>
              <w:rPr>
                <w:rStyle w:val="6"/>
                <w:rFonts w:eastAsia="宋体"/>
                <w:lang w:val="en-US" w:eastAsia="zh-CN" w:bidi="ar"/>
              </w:rPr>
              <w:t>=</w:t>
            </w:r>
            <w:r>
              <w:rPr>
                <w:rStyle w:val="9"/>
                <w:lang w:val="en-US" w:eastAsia="zh-CN" w:bidi="ar"/>
              </w:rPr>
              <w:t>已完成预期指标值的数量指标中偏离度在</w:t>
            </w:r>
            <w:r>
              <w:rPr>
                <w:rStyle w:val="6"/>
                <w:rFonts w:eastAsia="宋体"/>
                <w:lang w:val="en-US" w:eastAsia="zh-CN" w:bidi="ar"/>
              </w:rPr>
              <w:t>30%</w:t>
            </w:r>
            <w:r>
              <w:rPr>
                <w:rStyle w:val="9"/>
                <w:lang w:val="en-US" w:eastAsia="zh-CN" w:bidi="ar"/>
              </w:rPr>
              <w:t>内的指标个数</w:t>
            </w:r>
            <w:r>
              <w:rPr>
                <w:rStyle w:val="6"/>
                <w:rFonts w:eastAsia="宋体"/>
                <w:lang w:val="en-US" w:eastAsia="zh-CN" w:bidi="ar"/>
              </w:rPr>
              <w:t>÷</w:t>
            </w:r>
            <w:r>
              <w:rPr>
                <w:rStyle w:val="9"/>
                <w:lang w:val="en-US" w:eastAsia="zh-CN" w:bidi="ar"/>
              </w:rPr>
              <w:t>已完成预期指标值的数量指标个数</w:t>
            </w:r>
            <w:r>
              <w:rPr>
                <w:rStyle w:val="6"/>
                <w:rFonts w:eastAsia="宋体"/>
                <w:lang w:val="en-US" w:eastAsia="zh-CN" w:bidi="ar"/>
              </w:rPr>
              <w:t>×100%×4</w:t>
            </w:r>
            <w:r>
              <w:rPr>
                <w:rStyle w:val="9"/>
                <w:lang w:val="en-US" w:eastAsia="zh-CN" w:bidi="ar"/>
              </w:rPr>
              <w:t>。偏离度</w:t>
            </w:r>
            <w:r>
              <w:rPr>
                <w:rStyle w:val="6"/>
                <w:rFonts w:eastAsia="宋体"/>
                <w:lang w:val="en-US" w:eastAsia="zh-CN" w:bidi="ar"/>
              </w:rPr>
              <w:t>=|</w:t>
            </w:r>
            <w:r>
              <w:rPr>
                <w:rStyle w:val="9"/>
                <w:lang w:val="en-US" w:eastAsia="zh-CN" w:bidi="ar"/>
              </w:rPr>
              <w:t>（绩效指标实际完成值</w:t>
            </w:r>
            <w:r>
              <w:rPr>
                <w:rStyle w:val="6"/>
                <w:rFonts w:eastAsia="宋体"/>
                <w:lang w:val="en-US" w:eastAsia="zh-CN" w:bidi="ar"/>
              </w:rPr>
              <w:t>-</w:t>
            </w:r>
            <w:r>
              <w:rPr>
                <w:rStyle w:val="9"/>
                <w:lang w:val="en-US" w:eastAsia="zh-CN" w:bidi="ar"/>
              </w:rPr>
              <w:t>设定预期指标值）</w:t>
            </w:r>
            <w:r>
              <w:rPr>
                <w:rStyle w:val="6"/>
                <w:rFonts w:eastAsia="宋体"/>
                <w:lang w:val="en-US" w:eastAsia="zh-CN" w:bidi="ar"/>
              </w:rPr>
              <w:t>÷</w:t>
            </w:r>
            <w:r>
              <w:rPr>
                <w:rStyle w:val="9"/>
                <w:lang w:val="en-US" w:eastAsia="zh-CN" w:bidi="ar"/>
              </w:rPr>
              <w:t>设定预期指标值</w:t>
            </w:r>
            <w:r>
              <w:rPr>
                <w:rStyle w:val="6"/>
                <w:rFonts w:eastAsia="宋体"/>
                <w:lang w:val="en-US" w:eastAsia="zh-CN" w:bidi="ar"/>
              </w:rPr>
              <w:t>|</w:t>
            </w:r>
            <w:r>
              <w:rPr>
                <w:rStyle w:val="9"/>
                <w:lang w:val="en-US" w:eastAsia="zh-CN" w:bidi="ar"/>
              </w:rPr>
              <w:t>。部门预算阶段项目（含一次性项目）绩效目标实际完成值偏离预期指标</w:t>
            </w:r>
            <w:r>
              <w:rPr>
                <w:rStyle w:val="6"/>
                <w:rFonts w:eastAsia="宋体"/>
                <w:lang w:val="en-US" w:eastAsia="zh-CN" w:bidi="ar"/>
              </w:rPr>
              <w:t>30%</w:t>
            </w:r>
            <w:r>
              <w:rPr>
                <w:rStyle w:val="9"/>
                <w:lang w:val="en-US" w:eastAsia="zh-CN" w:bidi="ar"/>
              </w:rPr>
              <w:t>以上（含</w:t>
            </w:r>
            <w:r>
              <w:rPr>
                <w:rStyle w:val="6"/>
                <w:rFonts w:eastAsia="宋体"/>
                <w:lang w:val="en-US" w:eastAsia="zh-CN" w:bidi="ar"/>
              </w:rPr>
              <w:t>30%</w:t>
            </w:r>
            <w:r>
              <w:rPr>
                <w:rStyle w:val="9"/>
                <w:lang w:val="en-US" w:eastAsia="zh-CN" w:bidi="ar"/>
              </w:rPr>
              <w:t>）的，不计分。</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F723">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05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r>
      <w:tr w14:paraId="6986B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19"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CDD9178">
            <w:pPr>
              <w:jc w:val="center"/>
              <w:rPr>
                <w:rFonts w:hint="default" w:ascii="Times New Roman" w:hAnsi="Times New Roman" w:eastAsia="宋体" w:cs="Times New Roman"/>
                <w:b/>
                <w:bCs/>
                <w:i w:val="0"/>
                <w:iCs w:val="0"/>
                <w:color w:val="000000"/>
                <w:sz w:val="24"/>
                <w:szCs w:val="24"/>
                <w:u w:val="none"/>
              </w:rPr>
            </w:pPr>
          </w:p>
        </w:tc>
        <w:tc>
          <w:tcPr>
            <w:tcW w:w="83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75794C25">
            <w:pPr>
              <w:jc w:val="center"/>
              <w:rPr>
                <w:rFonts w:hint="default" w:ascii="Times New Roman" w:hAnsi="Times New Roman" w:eastAsia="宋体" w:cs="Times New Roman"/>
                <w:b/>
                <w:bCs/>
                <w:i w:val="0"/>
                <w:iCs w:val="0"/>
                <w:color w:val="000000"/>
                <w:sz w:val="24"/>
                <w:szCs w:val="24"/>
                <w:u w:val="none"/>
              </w:rPr>
            </w:pPr>
          </w:p>
        </w:tc>
        <w:tc>
          <w:tcPr>
            <w:tcW w:w="367" w:type="dxa"/>
            <w:tcBorders>
              <w:top w:val="single" w:color="000000" w:sz="4" w:space="0"/>
              <w:left w:val="single" w:color="000000" w:sz="4" w:space="0"/>
              <w:bottom w:val="single" w:color="auto" w:sz="4" w:space="0"/>
              <w:right w:val="single" w:color="000000" w:sz="4" w:space="0"/>
            </w:tcBorders>
            <w:shd w:val="clear" w:color="auto" w:fill="auto"/>
            <w:vAlign w:val="center"/>
          </w:tcPr>
          <w:p w14:paraId="6E8F46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实现效果</w:t>
            </w:r>
          </w:p>
        </w:tc>
        <w:tc>
          <w:tcPr>
            <w:tcW w:w="400" w:type="dxa"/>
            <w:tcBorders>
              <w:top w:val="single" w:color="000000" w:sz="4" w:space="0"/>
              <w:left w:val="single" w:color="000000" w:sz="4" w:space="0"/>
              <w:bottom w:val="single" w:color="auto" w:sz="4" w:space="0"/>
              <w:right w:val="single" w:color="000000" w:sz="4" w:space="0"/>
            </w:tcBorders>
            <w:shd w:val="clear" w:color="auto" w:fill="auto"/>
            <w:vAlign w:val="center"/>
          </w:tcPr>
          <w:p w14:paraId="59B9AD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2700" w:type="dxa"/>
            <w:tcBorders>
              <w:top w:val="single" w:color="000000" w:sz="4" w:space="0"/>
              <w:left w:val="single" w:color="000000" w:sz="4" w:space="0"/>
              <w:bottom w:val="single" w:color="auto" w:sz="4" w:space="0"/>
              <w:right w:val="single" w:color="000000" w:sz="4" w:space="0"/>
            </w:tcBorders>
            <w:shd w:val="clear" w:color="auto" w:fill="auto"/>
            <w:vAlign w:val="center"/>
          </w:tcPr>
          <w:p w14:paraId="0E81D7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部门预算项目绩效目标效益指标实施效果</w:t>
            </w:r>
          </w:p>
        </w:tc>
        <w:tc>
          <w:tcPr>
            <w:tcW w:w="1700" w:type="dxa"/>
            <w:tcBorders>
              <w:top w:val="single" w:color="000000" w:sz="4" w:space="0"/>
              <w:left w:val="single" w:color="000000" w:sz="4" w:space="0"/>
              <w:bottom w:val="single" w:color="auto" w:sz="4" w:space="0"/>
              <w:right w:val="single" w:color="000000" w:sz="4" w:space="0"/>
            </w:tcBorders>
            <w:shd w:val="clear" w:color="auto" w:fill="auto"/>
            <w:vAlign w:val="center"/>
          </w:tcPr>
          <w:p w14:paraId="25CD1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比率分值法</w:t>
            </w:r>
          </w:p>
        </w:tc>
        <w:tc>
          <w:tcPr>
            <w:tcW w:w="3500" w:type="dxa"/>
            <w:tcBorders>
              <w:top w:val="single" w:color="000000" w:sz="4" w:space="0"/>
              <w:left w:val="single" w:color="000000" w:sz="4" w:space="0"/>
              <w:bottom w:val="single" w:color="auto" w:sz="4" w:space="0"/>
              <w:right w:val="single" w:color="000000" w:sz="4" w:space="0"/>
            </w:tcBorders>
            <w:shd w:val="clear" w:color="auto" w:fill="auto"/>
            <w:vAlign w:val="center"/>
          </w:tcPr>
          <w:p w14:paraId="6745002F">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该项指标得分</w:t>
            </w:r>
            <w:r>
              <w:rPr>
                <w:rStyle w:val="6"/>
                <w:rFonts w:eastAsia="宋体"/>
                <w:lang w:val="en-US" w:eastAsia="zh-CN" w:bidi="ar"/>
              </w:rPr>
              <w:t>=</w:t>
            </w:r>
            <w:r>
              <w:rPr>
                <w:rStyle w:val="9"/>
                <w:lang w:val="en-US" w:eastAsia="zh-CN" w:bidi="ar"/>
              </w:rPr>
              <w:t>完成绩效目标效益指标的部门预算阶段项目（含一次性项目）数量</w:t>
            </w:r>
            <w:r>
              <w:rPr>
                <w:rStyle w:val="6"/>
                <w:rFonts w:eastAsia="宋体"/>
                <w:lang w:val="en-US" w:eastAsia="zh-CN" w:bidi="ar"/>
              </w:rPr>
              <w:t>÷</w:t>
            </w:r>
            <w:r>
              <w:rPr>
                <w:rStyle w:val="9"/>
                <w:lang w:val="en-US" w:eastAsia="zh-CN" w:bidi="ar"/>
              </w:rPr>
              <w:t>部门预算阶段项目（含一次性项目）总数</w:t>
            </w:r>
            <w:r>
              <w:rPr>
                <w:rStyle w:val="6"/>
                <w:rFonts w:eastAsia="宋体"/>
                <w:lang w:val="en-US" w:eastAsia="zh-CN" w:bidi="ar"/>
              </w:rPr>
              <w:t>×100%×3</w:t>
            </w:r>
            <w:r>
              <w:rPr>
                <w:rStyle w:val="9"/>
                <w:lang w:val="en-US" w:eastAsia="zh-CN" w:bidi="ar"/>
              </w:rPr>
              <w:t>。</w:t>
            </w:r>
          </w:p>
        </w:tc>
        <w:tc>
          <w:tcPr>
            <w:tcW w:w="3083" w:type="dxa"/>
            <w:tcBorders>
              <w:top w:val="single" w:color="000000" w:sz="4" w:space="0"/>
              <w:left w:val="single" w:color="000000" w:sz="4" w:space="0"/>
              <w:bottom w:val="single" w:color="auto" w:sz="4" w:space="0"/>
              <w:right w:val="single" w:color="000000" w:sz="4" w:space="0"/>
            </w:tcBorders>
            <w:shd w:val="clear" w:color="auto" w:fill="auto"/>
            <w:vAlign w:val="center"/>
          </w:tcPr>
          <w:p w14:paraId="60CEF74C">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000000" w:sz="4" w:space="0"/>
              <w:left w:val="single" w:color="000000" w:sz="4" w:space="0"/>
              <w:bottom w:val="single" w:color="auto" w:sz="4" w:space="0"/>
              <w:right w:val="single" w:color="000000" w:sz="4" w:space="0"/>
            </w:tcBorders>
            <w:shd w:val="clear" w:color="auto" w:fill="auto"/>
            <w:vAlign w:val="center"/>
          </w:tcPr>
          <w:p w14:paraId="3530903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r>
      <w:tr w14:paraId="68918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7" w:hRule="atLeast"/>
        </w:trPr>
        <w:tc>
          <w:tcPr>
            <w:tcW w:w="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AB62B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Style w:val="7"/>
                <w:lang w:val="en-US" w:eastAsia="zh-CN" w:bidi="ar"/>
              </w:rPr>
              <w:t>扣分项</w:t>
            </w:r>
            <w:r>
              <w:rPr>
                <w:rStyle w:val="8"/>
                <w:rFonts w:eastAsia="宋体"/>
                <w:lang w:val="en-US" w:eastAsia="zh-CN" w:bidi="ar"/>
              </w:rPr>
              <w:br w:type="textWrapping"/>
            </w:r>
            <w:r>
              <w:rPr>
                <w:rStyle w:val="7"/>
                <w:lang w:val="en-US" w:eastAsia="zh-CN" w:bidi="ar"/>
              </w:rPr>
              <w:t>（</w:t>
            </w:r>
            <w:r>
              <w:rPr>
                <w:rStyle w:val="8"/>
                <w:rFonts w:eastAsia="宋体"/>
                <w:lang w:val="en-US" w:eastAsia="zh-CN" w:bidi="ar"/>
              </w:rPr>
              <w:t>10</w:t>
            </w:r>
            <w:r>
              <w:rPr>
                <w:rStyle w:val="7"/>
                <w:lang w:val="en-US" w:eastAsia="zh-CN" w:bidi="ar"/>
              </w:rPr>
              <w:t>分）</w:t>
            </w:r>
          </w:p>
        </w:tc>
        <w:tc>
          <w:tcPr>
            <w:tcW w:w="12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E5F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预算绩效存在问题</w:t>
            </w:r>
          </w:p>
        </w:tc>
        <w:tc>
          <w:tcPr>
            <w:tcW w:w="400" w:type="dxa"/>
            <w:tcBorders>
              <w:top w:val="single" w:color="auto" w:sz="4" w:space="0"/>
              <w:left w:val="single" w:color="auto" w:sz="4" w:space="0"/>
              <w:bottom w:val="single" w:color="auto" w:sz="4" w:space="0"/>
              <w:right w:val="single" w:color="auto" w:sz="4" w:space="0"/>
            </w:tcBorders>
            <w:shd w:val="clear" w:color="auto" w:fill="auto"/>
            <w:vAlign w:val="center"/>
          </w:tcPr>
          <w:p w14:paraId="784E2AA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c>
          <w:tcPr>
            <w:tcW w:w="2700" w:type="dxa"/>
            <w:tcBorders>
              <w:top w:val="single" w:color="auto" w:sz="4" w:space="0"/>
              <w:left w:val="single" w:color="auto" w:sz="4" w:space="0"/>
              <w:bottom w:val="single" w:color="auto" w:sz="4" w:space="0"/>
              <w:right w:val="single" w:color="auto" w:sz="4" w:space="0"/>
            </w:tcBorders>
            <w:shd w:val="clear" w:color="auto" w:fill="auto"/>
            <w:vAlign w:val="center"/>
          </w:tcPr>
          <w:p w14:paraId="188852B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预算管理和绩效管理工作存在问题</w:t>
            </w:r>
          </w:p>
        </w:tc>
        <w:tc>
          <w:tcPr>
            <w:tcW w:w="1700" w:type="dxa"/>
            <w:tcBorders>
              <w:top w:val="single" w:color="auto" w:sz="4" w:space="0"/>
              <w:left w:val="single" w:color="auto" w:sz="4" w:space="0"/>
              <w:bottom w:val="single" w:color="auto" w:sz="4" w:space="0"/>
              <w:right w:val="single" w:color="auto" w:sz="4" w:space="0"/>
            </w:tcBorders>
            <w:shd w:val="clear" w:color="auto" w:fill="auto"/>
            <w:vAlign w:val="center"/>
          </w:tcPr>
          <w:p w14:paraId="66CF325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缺（错）项</w:t>
            </w:r>
            <w:r>
              <w:rPr>
                <w:rStyle w:val="6"/>
                <w:rFonts w:eastAsia="宋体"/>
                <w:lang w:val="en-US" w:eastAsia="zh-CN" w:bidi="ar"/>
              </w:rPr>
              <w:br w:type="textWrapping"/>
            </w:r>
            <w:r>
              <w:rPr>
                <w:rStyle w:val="9"/>
                <w:lang w:val="en-US" w:eastAsia="zh-CN" w:bidi="ar"/>
              </w:rPr>
              <w:t>扣分法</w:t>
            </w:r>
          </w:p>
        </w:tc>
        <w:tc>
          <w:tcPr>
            <w:tcW w:w="3500" w:type="dxa"/>
            <w:tcBorders>
              <w:top w:val="single" w:color="auto" w:sz="4" w:space="0"/>
              <w:left w:val="single" w:color="auto" w:sz="4" w:space="0"/>
              <w:bottom w:val="single" w:color="auto" w:sz="4" w:space="0"/>
              <w:right w:val="single" w:color="auto" w:sz="4" w:space="0"/>
            </w:tcBorders>
            <w:shd w:val="clear" w:color="auto" w:fill="auto"/>
            <w:vAlign w:val="center"/>
          </w:tcPr>
          <w:p w14:paraId="6DECE104">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依据评价年度人大监督、巡视巡察、审计监督、财会监督等结果以及评价指标体系涉及的履职效果、预算管理、财务管理、资产管理、采购管理、项目绩效等方面出现的问题，每有一个问题点扣</w:t>
            </w:r>
            <w:r>
              <w:rPr>
                <w:rStyle w:val="6"/>
                <w:rFonts w:eastAsia="宋体"/>
                <w:lang w:val="en-US" w:eastAsia="zh-CN" w:bidi="ar"/>
              </w:rPr>
              <w:t>1</w:t>
            </w:r>
            <w:r>
              <w:rPr>
                <w:rStyle w:val="9"/>
                <w:lang w:val="en-US" w:eastAsia="zh-CN" w:bidi="ar"/>
              </w:rPr>
              <w:t>分，扣完为止。</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1703D81B">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14:paraId="39595085">
            <w:pPr>
              <w:jc w:val="center"/>
              <w:rPr>
                <w:rFonts w:hint="default" w:ascii="Times New Roman" w:hAnsi="Times New Roman" w:eastAsia="宋体" w:cs="Times New Roman"/>
                <w:i w:val="0"/>
                <w:iCs w:val="0"/>
                <w:color w:val="000000"/>
                <w:sz w:val="24"/>
                <w:szCs w:val="24"/>
                <w:u w:val="none"/>
              </w:rPr>
            </w:pPr>
          </w:p>
        </w:tc>
      </w:tr>
      <w:tr w14:paraId="257E8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5" w:hRule="atLeast"/>
        </w:trPr>
        <w:tc>
          <w:tcPr>
            <w:tcW w:w="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DDA1BB">
            <w:pPr>
              <w:jc w:val="center"/>
              <w:rPr>
                <w:rFonts w:hint="default" w:ascii="Times New Roman" w:hAnsi="Times New Roman" w:eastAsia="宋体" w:cs="Times New Roman"/>
                <w:b/>
                <w:bCs/>
                <w:i w:val="0"/>
                <w:iCs w:val="0"/>
                <w:color w:val="000000"/>
                <w:sz w:val="24"/>
                <w:szCs w:val="24"/>
                <w:u w:val="none"/>
              </w:rPr>
            </w:pPr>
          </w:p>
        </w:tc>
        <w:tc>
          <w:tcPr>
            <w:tcW w:w="12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A52AC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被评价部门配合度</w:t>
            </w:r>
          </w:p>
        </w:tc>
        <w:tc>
          <w:tcPr>
            <w:tcW w:w="400" w:type="dxa"/>
            <w:tcBorders>
              <w:top w:val="single" w:color="auto" w:sz="4" w:space="0"/>
              <w:left w:val="single" w:color="auto" w:sz="4" w:space="0"/>
              <w:bottom w:val="single" w:color="auto" w:sz="4" w:space="0"/>
              <w:right w:val="single" w:color="auto" w:sz="4" w:space="0"/>
            </w:tcBorders>
            <w:shd w:val="clear" w:color="auto" w:fill="auto"/>
            <w:vAlign w:val="center"/>
          </w:tcPr>
          <w:p w14:paraId="6FED2E8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c>
          <w:tcPr>
            <w:tcW w:w="2700" w:type="dxa"/>
            <w:tcBorders>
              <w:top w:val="single" w:color="auto" w:sz="4" w:space="0"/>
              <w:left w:val="single" w:color="auto" w:sz="4" w:space="0"/>
              <w:bottom w:val="single" w:color="auto" w:sz="4" w:space="0"/>
              <w:right w:val="single" w:color="auto" w:sz="4" w:space="0"/>
            </w:tcBorders>
            <w:shd w:val="clear" w:color="auto" w:fill="auto"/>
            <w:vAlign w:val="center"/>
          </w:tcPr>
          <w:p w14:paraId="413486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被评价对象工作配合情况</w:t>
            </w:r>
          </w:p>
        </w:tc>
        <w:tc>
          <w:tcPr>
            <w:tcW w:w="1700" w:type="dxa"/>
            <w:tcBorders>
              <w:top w:val="single" w:color="auto" w:sz="4" w:space="0"/>
              <w:left w:val="single" w:color="auto" w:sz="4" w:space="0"/>
              <w:bottom w:val="single" w:color="auto" w:sz="4" w:space="0"/>
              <w:right w:val="single" w:color="auto" w:sz="4" w:space="0"/>
            </w:tcBorders>
            <w:shd w:val="clear" w:color="auto" w:fill="auto"/>
            <w:vAlign w:val="center"/>
          </w:tcPr>
          <w:p w14:paraId="6AAE52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缺（错）项</w:t>
            </w:r>
            <w:r>
              <w:rPr>
                <w:rStyle w:val="6"/>
                <w:rFonts w:eastAsia="宋体"/>
                <w:lang w:val="en-US" w:eastAsia="zh-CN" w:bidi="ar"/>
              </w:rPr>
              <w:br w:type="textWrapping"/>
            </w:r>
            <w:r>
              <w:rPr>
                <w:rStyle w:val="9"/>
                <w:lang w:val="en-US" w:eastAsia="zh-CN" w:bidi="ar"/>
              </w:rPr>
              <w:t>扣分法</w:t>
            </w:r>
          </w:p>
        </w:tc>
        <w:tc>
          <w:tcPr>
            <w:tcW w:w="3500" w:type="dxa"/>
            <w:tcBorders>
              <w:top w:val="single" w:color="auto" w:sz="4" w:space="0"/>
              <w:left w:val="single" w:color="auto" w:sz="4" w:space="0"/>
              <w:bottom w:val="single" w:color="auto" w:sz="4" w:space="0"/>
              <w:right w:val="single" w:color="auto" w:sz="4" w:space="0"/>
            </w:tcBorders>
            <w:shd w:val="clear" w:color="auto" w:fill="auto"/>
            <w:vAlign w:val="center"/>
          </w:tcPr>
          <w:p w14:paraId="74A86CC3">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Style w:val="9"/>
                <w:lang w:val="en-US" w:eastAsia="zh-CN" w:bidi="ar"/>
              </w:rPr>
              <w:t>评价工作开展过程中，被评价对象拖延推诿、提交资料不及时等拒不配合评价工作的，每发现一次扣</w:t>
            </w:r>
            <w:r>
              <w:rPr>
                <w:rStyle w:val="6"/>
                <w:rFonts w:eastAsia="宋体"/>
                <w:lang w:val="en-US" w:eastAsia="zh-CN" w:bidi="ar"/>
              </w:rPr>
              <w:t>1</w:t>
            </w:r>
            <w:r>
              <w:rPr>
                <w:rStyle w:val="9"/>
                <w:lang w:val="en-US" w:eastAsia="zh-CN" w:bidi="ar"/>
              </w:rPr>
              <w:t>分，扣完为止。</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188ED768">
            <w:pPr>
              <w:jc w:val="center"/>
              <w:rPr>
                <w:rFonts w:hint="default" w:ascii="Times New Roman" w:hAnsi="Times New Roman" w:eastAsia="宋体" w:cs="Times New Roman"/>
                <w:i w:val="0"/>
                <w:iCs w:val="0"/>
                <w:color w:val="000000"/>
                <w:sz w:val="24"/>
                <w:szCs w:val="24"/>
                <w:u w:val="none"/>
              </w:rPr>
            </w:pPr>
          </w:p>
        </w:tc>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14:paraId="6917FAEE">
            <w:pPr>
              <w:jc w:val="center"/>
              <w:rPr>
                <w:rFonts w:hint="default" w:ascii="Times New Roman" w:hAnsi="Times New Roman" w:eastAsia="宋体" w:cs="Times New Roman"/>
                <w:i w:val="0"/>
                <w:iCs w:val="0"/>
                <w:color w:val="000000"/>
                <w:sz w:val="24"/>
                <w:szCs w:val="24"/>
                <w:u w:val="none"/>
              </w:rPr>
            </w:pPr>
          </w:p>
        </w:tc>
      </w:tr>
    </w:tbl>
    <w:p w14:paraId="2128F363">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eastAsia="仿宋_GB2312" w:cs="Times New Roman"/>
          <w:sz w:val="32"/>
          <w:szCs w:val="32"/>
          <w:u w:val="none"/>
          <w:lang w:val="en-US" w:eastAsia="zh-CN" w:bidi="ar"/>
        </w:rPr>
      </w:pPr>
    </w:p>
    <w:p w14:paraId="767CA836">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sz w:val="32"/>
          <w:szCs w:val="32"/>
          <w:u w:val="none"/>
          <w:lang w:val="en-US" w:eastAsia="zh-CN" w:bidi="ar"/>
        </w:rPr>
        <w:sectPr>
          <w:pgSz w:w="16838" w:h="11906" w:orient="landscape"/>
          <w:pgMar w:top="1800" w:right="1440" w:bottom="1800" w:left="1440" w:header="851" w:footer="992" w:gutter="0"/>
          <w:cols w:space="425" w:num="1"/>
          <w:docGrid w:type="lines" w:linePitch="312" w:charSpace="0"/>
        </w:sectPr>
      </w:pPr>
    </w:p>
    <w:p w14:paraId="7E8E0392">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表</w:t>
      </w:r>
      <w:r>
        <w:rPr>
          <w:rFonts w:hint="eastAsia" w:eastAsia="仿宋_GB2312" w:cs="Times New Roman"/>
          <w:sz w:val="32"/>
          <w:szCs w:val="32"/>
          <w:u w:val="none"/>
          <w:lang w:val="en-US" w:eastAsia="zh-CN" w:bidi="ar"/>
        </w:rPr>
        <w:t>4</w:t>
      </w:r>
    </w:p>
    <w:tbl>
      <w:tblPr>
        <w:tblStyle w:val="3"/>
        <w:tblW w:w="8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8"/>
        <w:gridCol w:w="1020"/>
        <w:gridCol w:w="932"/>
        <w:gridCol w:w="1134"/>
        <w:gridCol w:w="397"/>
        <w:gridCol w:w="810"/>
        <w:gridCol w:w="400"/>
        <w:gridCol w:w="759"/>
        <w:gridCol w:w="488"/>
        <w:gridCol w:w="488"/>
        <w:gridCol w:w="1314"/>
      </w:tblGrid>
      <w:tr w14:paraId="3B0CD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7" w:hRule="atLeast"/>
        </w:trPr>
        <w:tc>
          <w:tcPr>
            <w:tcW w:w="83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009D99">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3BA9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CD1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72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5761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51198922T000005938813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城乡环境综合整治费用</w:t>
            </w:r>
          </w:p>
        </w:tc>
      </w:tr>
      <w:tr w14:paraId="3D3A3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775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A732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巴中市光雾山诺水河文旅融合发展示范区综合行政执法局部门</w:t>
            </w:r>
          </w:p>
        </w:tc>
        <w:tc>
          <w:tcPr>
            <w:tcW w:w="759" w:type="dxa"/>
            <w:tcBorders>
              <w:top w:val="nil"/>
              <w:left w:val="nil"/>
              <w:bottom w:val="nil"/>
              <w:right w:val="nil"/>
            </w:tcBorders>
            <w:shd w:val="clear" w:color="auto" w:fill="auto"/>
            <w:vAlign w:val="center"/>
          </w:tcPr>
          <w:p w14:paraId="002C3CB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57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巴中市光雾山诺水河文旅融合发展示范区综合行政执法局</w:t>
            </w:r>
          </w:p>
        </w:tc>
      </w:tr>
      <w:tr w14:paraId="656AB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39B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250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B4D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0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D2F0F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9FE7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3636B">
            <w:pPr>
              <w:rPr>
                <w:rFonts w:hint="eastAsia" w:ascii="宋体" w:hAnsi="宋体" w:eastAsia="宋体" w:cs="宋体"/>
                <w:i w:val="0"/>
                <w:iCs w:val="0"/>
                <w:color w:val="000000"/>
                <w:sz w:val="18"/>
                <w:szCs w:val="18"/>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D564B">
            <w:pPr>
              <w:rPr>
                <w:rFonts w:hint="eastAsia" w:ascii="宋体" w:hAnsi="宋体" w:eastAsia="宋体" w:cs="宋体"/>
                <w:i w:val="0"/>
                <w:iCs w:val="0"/>
                <w:color w:val="000000"/>
                <w:sz w:val="18"/>
                <w:szCs w:val="18"/>
                <w:u w:val="none"/>
              </w:rPr>
            </w:pPr>
          </w:p>
        </w:tc>
        <w:tc>
          <w:tcPr>
            <w:tcW w:w="36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63FE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2022年城乡环境整治</w:t>
            </w:r>
          </w:p>
        </w:tc>
        <w:tc>
          <w:tcPr>
            <w:tcW w:w="30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93E7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2022年城乡环境整治</w:t>
            </w:r>
          </w:p>
        </w:tc>
      </w:tr>
      <w:tr w14:paraId="213A0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8E924">
            <w:pP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33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72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131C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2022年城乡环境整治</w:t>
            </w:r>
          </w:p>
        </w:tc>
      </w:tr>
      <w:tr w14:paraId="68A67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74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9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7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9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ADA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E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3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0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D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3A53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6AE33">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1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2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2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16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656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7.47</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E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60.26%</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5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4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8EF9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C9D5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640C8">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3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3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0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16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495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7.47</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1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60.26%</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D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C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3AEB1">
            <w:pPr>
              <w:rPr>
                <w:rFonts w:hint="eastAsia" w:ascii="黑体" w:hAnsi="黑体" w:eastAsia="黑体" w:cs="黑体"/>
                <w:i/>
                <w:iCs/>
                <w:color w:val="000000"/>
                <w:sz w:val="18"/>
                <w:szCs w:val="18"/>
                <w:u w:val="none"/>
              </w:rPr>
            </w:pPr>
          </w:p>
        </w:tc>
      </w:tr>
      <w:tr w14:paraId="19A6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5C86C">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0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E2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6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078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0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1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8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CC993">
            <w:pPr>
              <w:rPr>
                <w:rFonts w:hint="eastAsia" w:ascii="黑体" w:hAnsi="黑体" w:eastAsia="黑体" w:cs="黑体"/>
                <w:i/>
                <w:iCs/>
                <w:color w:val="000000"/>
                <w:sz w:val="18"/>
                <w:szCs w:val="18"/>
                <w:u w:val="none"/>
              </w:rPr>
            </w:pPr>
          </w:p>
        </w:tc>
      </w:tr>
      <w:tr w14:paraId="4A347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4D318">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D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1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23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448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F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BE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B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2F3D3">
            <w:pPr>
              <w:rPr>
                <w:rFonts w:hint="eastAsia" w:ascii="黑体" w:hAnsi="黑体" w:eastAsia="黑体" w:cs="黑体"/>
                <w:i/>
                <w:iCs/>
                <w:color w:val="000000"/>
                <w:sz w:val="18"/>
                <w:szCs w:val="18"/>
                <w:u w:val="none"/>
              </w:rPr>
            </w:pPr>
          </w:p>
        </w:tc>
      </w:tr>
      <w:tr w14:paraId="72030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C96BF">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3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1479">
            <w:pPr>
              <w:jc w:val="center"/>
              <w:rPr>
                <w:rFonts w:hint="eastAsia" w:ascii="微软雅黑" w:hAnsi="微软雅黑" w:eastAsia="微软雅黑" w:cs="微软雅黑"/>
                <w:i/>
                <w:iCs/>
                <w:color w:val="000000"/>
                <w:sz w:val="16"/>
                <w:szCs w:val="16"/>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8029">
            <w:pPr>
              <w:jc w:val="center"/>
              <w:rPr>
                <w:rFonts w:hint="eastAsia" w:ascii="微软雅黑" w:hAnsi="微软雅黑" w:eastAsia="微软雅黑" w:cs="微软雅黑"/>
                <w:i/>
                <w:iCs/>
                <w:color w:val="000000"/>
                <w:sz w:val="16"/>
                <w:szCs w:val="16"/>
                <w:u w:val="none"/>
              </w:rPr>
            </w:pPr>
          </w:p>
        </w:tc>
        <w:tc>
          <w:tcPr>
            <w:tcW w:w="16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9631D0">
            <w:pPr>
              <w:jc w:val="center"/>
              <w:rPr>
                <w:rFonts w:hint="eastAsia" w:ascii="微软雅黑" w:hAnsi="微软雅黑" w:eastAsia="微软雅黑" w:cs="微软雅黑"/>
                <w:i/>
                <w:iCs/>
                <w:color w:val="000000"/>
                <w:sz w:val="16"/>
                <w:szCs w:val="16"/>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A71A">
            <w:pPr>
              <w:jc w:val="center"/>
              <w:rPr>
                <w:rFonts w:hint="eastAsia" w:ascii="微软雅黑" w:hAnsi="微软雅黑" w:eastAsia="微软雅黑" w:cs="微软雅黑"/>
                <w:i/>
                <w:iCs/>
                <w:color w:val="000000"/>
                <w:sz w:val="16"/>
                <w:szCs w:val="16"/>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0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5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CB728">
            <w:pPr>
              <w:rPr>
                <w:rFonts w:hint="eastAsia" w:ascii="黑体" w:hAnsi="黑体" w:eastAsia="黑体" w:cs="黑体"/>
                <w:i/>
                <w:iCs/>
                <w:color w:val="000000"/>
                <w:sz w:val="18"/>
                <w:szCs w:val="18"/>
                <w:u w:val="none"/>
              </w:rPr>
            </w:pPr>
          </w:p>
        </w:tc>
      </w:tr>
      <w:tr w14:paraId="234FE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5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6C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E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9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F7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B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7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9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4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C2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2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D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A159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A9B98">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5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7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1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综合治理</w:t>
            </w:r>
          </w:p>
        </w:tc>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1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D2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6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E04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F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0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BF490">
            <w:pPr>
              <w:jc w:val="center"/>
              <w:rPr>
                <w:rFonts w:hint="eastAsia" w:ascii="微软雅黑" w:hAnsi="微软雅黑" w:eastAsia="微软雅黑" w:cs="微软雅黑"/>
                <w:i/>
                <w:iCs/>
                <w:color w:val="000000"/>
                <w:sz w:val="16"/>
                <w:szCs w:val="16"/>
                <w:u w:val="none"/>
              </w:rPr>
            </w:pPr>
          </w:p>
        </w:tc>
      </w:tr>
      <w:tr w14:paraId="61D44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A1283">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15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A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D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综合治理</w:t>
            </w:r>
          </w:p>
        </w:tc>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A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2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3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69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B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2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C3A6">
            <w:pPr>
              <w:jc w:val="center"/>
              <w:rPr>
                <w:rFonts w:hint="eastAsia" w:ascii="微软雅黑" w:hAnsi="微软雅黑" w:eastAsia="微软雅黑" w:cs="微软雅黑"/>
                <w:i/>
                <w:iCs/>
                <w:color w:val="000000"/>
                <w:sz w:val="16"/>
                <w:szCs w:val="16"/>
                <w:u w:val="none"/>
              </w:rPr>
            </w:pPr>
          </w:p>
        </w:tc>
      </w:tr>
      <w:tr w14:paraId="09787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3BE01">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6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A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B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综合治理</w:t>
            </w:r>
          </w:p>
        </w:tc>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A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E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7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25D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F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2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80FE">
            <w:pPr>
              <w:jc w:val="center"/>
              <w:rPr>
                <w:rFonts w:hint="eastAsia" w:ascii="微软雅黑" w:hAnsi="微软雅黑" w:eastAsia="微软雅黑" w:cs="微软雅黑"/>
                <w:i/>
                <w:iCs/>
                <w:color w:val="000000"/>
                <w:sz w:val="16"/>
                <w:szCs w:val="16"/>
                <w:u w:val="none"/>
              </w:rPr>
            </w:pPr>
          </w:p>
        </w:tc>
      </w:tr>
      <w:tr w14:paraId="688C0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0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0F0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B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6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F2ED">
            <w:pPr>
              <w:rPr>
                <w:rFonts w:hint="eastAsia" w:ascii="宋体" w:hAnsi="宋体" w:eastAsia="宋体" w:cs="宋体"/>
                <w:i w:val="0"/>
                <w:iCs w:val="0"/>
                <w:color w:val="000000"/>
                <w:sz w:val="18"/>
                <w:szCs w:val="18"/>
                <w:u w:val="none"/>
              </w:rPr>
            </w:pPr>
          </w:p>
        </w:tc>
      </w:tr>
      <w:tr w14:paraId="7E041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C2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4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0002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2022年城乡环境整治</w:t>
            </w:r>
          </w:p>
        </w:tc>
      </w:tr>
      <w:tr w14:paraId="5FB07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2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4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40D6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C163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9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4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7D8E6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C62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0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7DCB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25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1C60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02525717">
      <w:pPr>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3"/>
        <w:tblW w:w="8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07"/>
        <w:gridCol w:w="894"/>
        <w:gridCol w:w="1091"/>
        <w:gridCol w:w="396"/>
        <w:gridCol w:w="855"/>
        <w:gridCol w:w="396"/>
        <w:gridCol w:w="846"/>
        <w:gridCol w:w="486"/>
        <w:gridCol w:w="486"/>
        <w:gridCol w:w="1267"/>
      </w:tblGrid>
      <w:tr w14:paraId="6375B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2" w:hRule="atLeast"/>
        </w:trPr>
        <w:tc>
          <w:tcPr>
            <w:tcW w:w="8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548198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0141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trPr>
        <w:tc>
          <w:tcPr>
            <w:tcW w:w="16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712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E096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51198923T000008581173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食堂运行经费</w:t>
            </w:r>
          </w:p>
        </w:tc>
      </w:tr>
      <w:tr w14:paraId="3D1D7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16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AB3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9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FF72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巴中市光雾山诺水河文旅融合发展示范区综合行政执法局部门</w:t>
            </w:r>
          </w:p>
        </w:tc>
        <w:tc>
          <w:tcPr>
            <w:tcW w:w="641" w:type="dxa"/>
            <w:tcBorders>
              <w:top w:val="nil"/>
              <w:left w:val="nil"/>
              <w:bottom w:val="nil"/>
              <w:right w:val="nil"/>
            </w:tcBorders>
            <w:shd w:val="clear" w:color="auto" w:fill="auto"/>
            <w:vAlign w:val="center"/>
          </w:tcPr>
          <w:p w14:paraId="70AE2B9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047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巴中市光雾山诺水河文旅融合发展示范区综合行政执法局</w:t>
            </w:r>
          </w:p>
        </w:tc>
      </w:tr>
      <w:tr w14:paraId="33EDF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trPr>
        <w:tc>
          <w:tcPr>
            <w:tcW w:w="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DF38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256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9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4C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2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6DCF3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AB44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AC3CE">
            <w:pPr>
              <w:rPr>
                <w:rFonts w:hint="eastAsia" w:ascii="宋体" w:hAnsi="宋体" w:eastAsia="宋体" w:cs="宋体"/>
                <w:i w:val="0"/>
                <w:iCs w:val="0"/>
                <w:color w:val="000000"/>
                <w:sz w:val="18"/>
                <w:szCs w:val="18"/>
                <w:u w:val="none"/>
              </w:rPr>
            </w:p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1161C">
            <w:pPr>
              <w:rPr>
                <w:rFonts w:hint="eastAsia" w:ascii="宋体" w:hAnsi="宋体" w:eastAsia="宋体" w:cs="宋体"/>
                <w:i w:val="0"/>
                <w:iCs w:val="0"/>
                <w:color w:val="000000"/>
                <w:sz w:val="18"/>
                <w:szCs w:val="18"/>
                <w:u w:val="none"/>
              </w:rPr>
            </w:pPr>
          </w:p>
        </w:tc>
        <w:tc>
          <w:tcPr>
            <w:tcW w:w="39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9C8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食堂运行经费</w:t>
            </w:r>
          </w:p>
        </w:tc>
        <w:tc>
          <w:tcPr>
            <w:tcW w:w="272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80C2A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食堂运行经费</w:t>
            </w:r>
          </w:p>
        </w:tc>
      </w:tr>
      <w:tr w14:paraId="2CAAC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1C803">
            <w:pP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C0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BED0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食堂运行经费</w:t>
            </w:r>
          </w:p>
        </w:tc>
      </w:tr>
      <w:tr w14:paraId="6866A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465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3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0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0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994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4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DB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B5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7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45D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EC428">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8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7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4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7AD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3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2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C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1132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7B0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8B960">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9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A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A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9B2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8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5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D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E5BA0">
            <w:pPr>
              <w:rPr>
                <w:rFonts w:hint="eastAsia" w:ascii="黑体" w:hAnsi="黑体" w:eastAsia="黑体" w:cs="黑体"/>
                <w:i/>
                <w:iCs/>
                <w:color w:val="000000"/>
                <w:sz w:val="18"/>
                <w:szCs w:val="18"/>
                <w:u w:val="none"/>
              </w:rPr>
            </w:pPr>
          </w:p>
        </w:tc>
      </w:tr>
      <w:tr w14:paraId="39BDC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C3095">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F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1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D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281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1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A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67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E57D0">
            <w:pPr>
              <w:rPr>
                <w:rFonts w:hint="eastAsia" w:ascii="黑体" w:hAnsi="黑体" w:eastAsia="黑体" w:cs="黑体"/>
                <w:i/>
                <w:iCs/>
                <w:color w:val="000000"/>
                <w:sz w:val="18"/>
                <w:szCs w:val="18"/>
                <w:u w:val="none"/>
              </w:rPr>
            </w:pPr>
          </w:p>
        </w:tc>
      </w:tr>
      <w:tr w14:paraId="23B2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4AA27">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1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B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F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2C5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9C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15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4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D3F9A">
            <w:pPr>
              <w:rPr>
                <w:rFonts w:hint="eastAsia" w:ascii="黑体" w:hAnsi="黑体" w:eastAsia="黑体" w:cs="黑体"/>
                <w:i/>
                <w:iCs/>
                <w:color w:val="000000"/>
                <w:sz w:val="18"/>
                <w:szCs w:val="18"/>
                <w:u w:val="none"/>
              </w:rPr>
            </w:pPr>
          </w:p>
        </w:tc>
      </w:tr>
      <w:tr w14:paraId="5FAD6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5A559">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F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3AF6">
            <w:pPr>
              <w:jc w:val="center"/>
              <w:rPr>
                <w:rFonts w:hint="eastAsia" w:ascii="微软雅黑" w:hAnsi="微软雅黑" w:eastAsia="微软雅黑" w:cs="微软雅黑"/>
                <w:i/>
                <w:iCs/>
                <w:color w:val="000000"/>
                <w:sz w:val="16"/>
                <w:szCs w:val="16"/>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57D1">
            <w:pPr>
              <w:jc w:val="center"/>
              <w:rPr>
                <w:rFonts w:hint="eastAsia" w:ascii="微软雅黑" w:hAnsi="微软雅黑" w:eastAsia="微软雅黑" w:cs="微软雅黑"/>
                <w:i/>
                <w:iCs/>
                <w:color w:val="000000"/>
                <w:sz w:val="16"/>
                <w:szCs w:val="16"/>
                <w:u w:val="none"/>
              </w:rPr>
            </w:pP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700F04">
            <w:pPr>
              <w:jc w:val="center"/>
              <w:rPr>
                <w:rFonts w:hint="eastAsia" w:ascii="微软雅黑" w:hAnsi="微软雅黑" w:eastAsia="微软雅黑" w:cs="微软雅黑"/>
                <w:i/>
                <w:iCs/>
                <w:color w:val="000000"/>
                <w:sz w:val="16"/>
                <w:szCs w:val="16"/>
                <w:u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4941">
            <w:pPr>
              <w:jc w:val="center"/>
              <w:rPr>
                <w:rFonts w:hint="eastAsia" w:ascii="微软雅黑" w:hAnsi="微软雅黑" w:eastAsia="微软雅黑" w:cs="微软雅黑"/>
                <w:i/>
                <w:iCs/>
                <w:color w:val="000000"/>
                <w:sz w:val="16"/>
                <w:szCs w:val="16"/>
                <w:u w:val="none"/>
              </w:rPr>
            </w:pP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7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B8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EE61B">
            <w:pPr>
              <w:rPr>
                <w:rFonts w:hint="eastAsia" w:ascii="黑体" w:hAnsi="黑体" w:eastAsia="黑体" w:cs="黑体"/>
                <w:i/>
                <w:iCs/>
                <w:color w:val="000000"/>
                <w:sz w:val="18"/>
                <w:szCs w:val="18"/>
                <w:u w:val="none"/>
              </w:rPr>
            </w:pPr>
          </w:p>
        </w:tc>
      </w:tr>
      <w:tr w14:paraId="1C779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0" w:hRule="atLeast"/>
        </w:trPr>
        <w:tc>
          <w:tcPr>
            <w:tcW w:w="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F4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4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7C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0B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0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2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5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F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0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B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9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2932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5EDE0">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F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9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F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经费共计8.64万元</w:t>
            </w: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2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B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A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3E0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8.64</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F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0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E615">
            <w:pPr>
              <w:jc w:val="center"/>
              <w:rPr>
                <w:rFonts w:hint="eastAsia" w:ascii="微软雅黑" w:hAnsi="微软雅黑" w:eastAsia="微软雅黑" w:cs="微软雅黑"/>
                <w:i/>
                <w:iCs/>
                <w:color w:val="000000"/>
                <w:sz w:val="16"/>
                <w:szCs w:val="16"/>
                <w:u w:val="none"/>
              </w:rPr>
            </w:pPr>
          </w:p>
        </w:tc>
      </w:tr>
      <w:tr w14:paraId="2BEB6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B9EB9">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9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1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0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节约食堂成本</w:t>
            </w: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8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7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是</w:t>
            </w:r>
          </w:p>
        </w:tc>
        <w:tc>
          <w:tcPr>
            <w:tcW w:w="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BD1FC">
            <w:pPr>
              <w:jc w:val="center"/>
              <w:rPr>
                <w:rFonts w:hint="eastAsia" w:ascii="宋体" w:hAnsi="宋体" w:eastAsia="宋体" w:cs="宋体"/>
                <w:i w:val="0"/>
                <w:iCs w:val="0"/>
                <w:color w:val="000000"/>
                <w:sz w:val="18"/>
                <w:szCs w:val="18"/>
                <w:u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FAE2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是</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6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5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B3DE">
            <w:pPr>
              <w:jc w:val="center"/>
              <w:rPr>
                <w:rFonts w:hint="eastAsia" w:ascii="微软雅黑" w:hAnsi="微软雅黑" w:eastAsia="微软雅黑" w:cs="微软雅黑"/>
                <w:i/>
                <w:iCs/>
                <w:color w:val="000000"/>
                <w:sz w:val="16"/>
                <w:szCs w:val="16"/>
                <w:u w:val="none"/>
              </w:rPr>
            </w:pPr>
          </w:p>
        </w:tc>
      </w:tr>
      <w:tr w14:paraId="77C85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trPr>
        <w:tc>
          <w:tcPr>
            <w:tcW w:w="621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422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9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2B9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BDA1">
            <w:pPr>
              <w:rPr>
                <w:rFonts w:hint="eastAsia" w:ascii="宋体" w:hAnsi="宋体" w:eastAsia="宋体" w:cs="宋体"/>
                <w:i w:val="0"/>
                <w:iCs w:val="0"/>
                <w:color w:val="000000"/>
                <w:sz w:val="18"/>
                <w:szCs w:val="18"/>
                <w:u w:val="none"/>
              </w:rPr>
            </w:pPr>
          </w:p>
        </w:tc>
      </w:tr>
      <w:tr w14:paraId="20B13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A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89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84EE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食堂运行经费</w:t>
            </w:r>
          </w:p>
        </w:tc>
      </w:tr>
      <w:tr w14:paraId="14DE2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6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89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CA901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A95C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D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89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89DDD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CED0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2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15AC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0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0DFC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1C2C2125">
      <w:pPr>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3"/>
        <w:tblW w:w="8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20"/>
        <w:gridCol w:w="931"/>
        <w:gridCol w:w="1133"/>
        <w:gridCol w:w="396"/>
        <w:gridCol w:w="837"/>
        <w:gridCol w:w="396"/>
        <w:gridCol w:w="756"/>
        <w:gridCol w:w="486"/>
        <w:gridCol w:w="486"/>
        <w:gridCol w:w="1283"/>
      </w:tblGrid>
      <w:tr w14:paraId="2A483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179998">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FC0F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6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64B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94E5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51198923T000008802214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综合行政执法工作经费</w:t>
            </w:r>
          </w:p>
        </w:tc>
      </w:tr>
      <w:tr w14:paraId="2ABD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6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484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9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367A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巴中市光雾山诺水河文旅融合发展示范区综合行政执法局部门</w:t>
            </w:r>
          </w:p>
        </w:tc>
        <w:tc>
          <w:tcPr>
            <w:tcW w:w="641" w:type="dxa"/>
            <w:tcBorders>
              <w:top w:val="nil"/>
              <w:left w:val="nil"/>
              <w:bottom w:val="nil"/>
              <w:right w:val="nil"/>
            </w:tcBorders>
            <w:shd w:val="clear" w:color="auto" w:fill="auto"/>
            <w:vAlign w:val="center"/>
          </w:tcPr>
          <w:p w14:paraId="78E5182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88A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巴中市光雾山诺水河文旅融合发展示范区综合行政执法局</w:t>
            </w:r>
          </w:p>
        </w:tc>
      </w:tr>
      <w:tr w14:paraId="0D89F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08E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18C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9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1AF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2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0BCBC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3E2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13C82">
            <w:pPr>
              <w:rPr>
                <w:rFonts w:hint="eastAsia" w:ascii="宋体" w:hAnsi="宋体" w:eastAsia="宋体" w:cs="宋体"/>
                <w:i w:val="0"/>
                <w:iCs w:val="0"/>
                <w:color w:val="000000"/>
                <w:sz w:val="18"/>
                <w:szCs w:val="18"/>
                <w:u w:val="none"/>
              </w:rPr>
            </w:p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8791D">
            <w:pPr>
              <w:rPr>
                <w:rFonts w:hint="eastAsia" w:ascii="宋体" w:hAnsi="宋体" w:eastAsia="宋体" w:cs="宋体"/>
                <w:i w:val="0"/>
                <w:iCs w:val="0"/>
                <w:color w:val="000000"/>
                <w:sz w:val="18"/>
                <w:szCs w:val="18"/>
                <w:u w:val="none"/>
              </w:rPr>
            </w:pPr>
          </w:p>
        </w:tc>
        <w:tc>
          <w:tcPr>
            <w:tcW w:w="39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C8D0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综合行政执法工作经费 </w:t>
            </w:r>
          </w:p>
        </w:tc>
        <w:tc>
          <w:tcPr>
            <w:tcW w:w="272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6190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综合行政执法工作经费</w:t>
            </w:r>
          </w:p>
        </w:tc>
      </w:tr>
      <w:tr w14:paraId="6BFA0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C0019">
            <w:pP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36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A0FF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综合行政执法工作经费</w:t>
            </w:r>
          </w:p>
        </w:tc>
      </w:tr>
      <w:tr w14:paraId="766D7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3E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3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C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C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2D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5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4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9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C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C2A7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B6E5B">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6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6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45.16</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1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51.67</w:t>
            </w: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BBC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46.99</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6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90.93%</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5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5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7AAF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A99B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E4D0A">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BD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4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45.16</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C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51.67</w:t>
            </w: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E57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46.99</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B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90.93%</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FE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F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0726A">
            <w:pPr>
              <w:rPr>
                <w:rFonts w:hint="eastAsia" w:ascii="黑体" w:hAnsi="黑体" w:eastAsia="黑体" w:cs="黑体"/>
                <w:i/>
                <w:iCs/>
                <w:color w:val="000000"/>
                <w:sz w:val="18"/>
                <w:szCs w:val="18"/>
                <w:u w:val="none"/>
              </w:rPr>
            </w:pPr>
          </w:p>
        </w:tc>
      </w:tr>
      <w:tr w14:paraId="5D82F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ECACD">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2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18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7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012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1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C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B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F6CC6">
            <w:pPr>
              <w:rPr>
                <w:rFonts w:hint="eastAsia" w:ascii="黑体" w:hAnsi="黑体" w:eastAsia="黑体" w:cs="黑体"/>
                <w:i/>
                <w:iCs/>
                <w:color w:val="000000"/>
                <w:sz w:val="18"/>
                <w:szCs w:val="18"/>
                <w:u w:val="none"/>
              </w:rPr>
            </w:pPr>
          </w:p>
        </w:tc>
      </w:tr>
      <w:tr w14:paraId="7EC79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D0350">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1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A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0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B00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1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FD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8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69B6A">
            <w:pPr>
              <w:rPr>
                <w:rFonts w:hint="eastAsia" w:ascii="黑体" w:hAnsi="黑体" w:eastAsia="黑体" w:cs="黑体"/>
                <w:i/>
                <w:iCs/>
                <w:color w:val="000000"/>
                <w:sz w:val="18"/>
                <w:szCs w:val="18"/>
                <w:u w:val="none"/>
              </w:rPr>
            </w:pPr>
          </w:p>
        </w:tc>
      </w:tr>
      <w:tr w14:paraId="677B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BE56C">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3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F598">
            <w:pPr>
              <w:jc w:val="center"/>
              <w:rPr>
                <w:rFonts w:hint="eastAsia" w:ascii="微软雅黑" w:hAnsi="微软雅黑" w:eastAsia="微软雅黑" w:cs="微软雅黑"/>
                <w:i/>
                <w:iCs/>
                <w:color w:val="000000"/>
                <w:sz w:val="16"/>
                <w:szCs w:val="16"/>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7456">
            <w:pPr>
              <w:jc w:val="center"/>
              <w:rPr>
                <w:rFonts w:hint="eastAsia" w:ascii="微软雅黑" w:hAnsi="微软雅黑" w:eastAsia="微软雅黑" w:cs="微软雅黑"/>
                <w:i/>
                <w:iCs/>
                <w:color w:val="000000"/>
                <w:sz w:val="16"/>
                <w:szCs w:val="16"/>
                <w:u w:val="none"/>
              </w:rPr>
            </w:pPr>
          </w:p>
        </w:tc>
        <w:tc>
          <w:tcPr>
            <w:tcW w:w="15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5691DA">
            <w:pPr>
              <w:jc w:val="center"/>
              <w:rPr>
                <w:rFonts w:hint="eastAsia" w:ascii="微软雅黑" w:hAnsi="微软雅黑" w:eastAsia="微软雅黑" w:cs="微软雅黑"/>
                <w:i/>
                <w:iCs/>
                <w:color w:val="000000"/>
                <w:sz w:val="16"/>
                <w:szCs w:val="16"/>
                <w:u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6113">
            <w:pPr>
              <w:jc w:val="center"/>
              <w:rPr>
                <w:rFonts w:hint="eastAsia" w:ascii="微软雅黑" w:hAnsi="微软雅黑" w:eastAsia="微软雅黑" w:cs="微软雅黑"/>
                <w:i/>
                <w:iCs/>
                <w:color w:val="000000"/>
                <w:sz w:val="16"/>
                <w:szCs w:val="16"/>
                <w:u w:val="none"/>
              </w:rPr>
            </w:pP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B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3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8A43C">
            <w:pPr>
              <w:rPr>
                <w:rFonts w:hint="eastAsia" w:ascii="黑体" w:hAnsi="黑体" w:eastAsia="黑体" w:cs="黑体"/>
                <w:i/>
                <w:iCs/>
                <w:color w:val="000000"/>
                <w:sz w:val="18"/>
                <w:szCs w:val="18"/>
                <w:u w:val="none"/>
              </w:rPr>
            </w:pPr>
          </w:p>
        </w:tc>
      </w:tr>
      <w:tr w14:paraId="1B69C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4" w:hRule="atLeast"/>
        </w:trPr>
        <w:tc>
          <w:tcPr>
            <w:tcW w:w="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21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2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7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4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F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1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D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9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C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D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29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5BF8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92C13">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1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2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9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资金到位率</w:t>
            </w: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9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3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E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0ED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B4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A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F32B">
            <w:pPr>
              <w:jc w:val="center"/>
              <w:rPr>
                <w:rFonts w:hint="eastAsia" w:ascii="微软雅黑" w:hAnsi="微软雅黑" w:eastAsia="微软雅黑" w:cs="微软雅黑"/>
                <w:i/>
                <w:iCs/>
                <w:color w:val="000000"/>
                <w:sz w:val="16"/>
                <w:szCs w:val="16"/>
                <w:u w:val="none"/>
              </w:rPr>
            </w:pPr>
          </w:p>
        </w:tc>
      </w:tr>
      <w:tr w14:paraId="5ED98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3B532">
            <w:pPr>
              <w:jc w:val="center"/>
              <w:rPr>
                <w:rFonts w:hint="eastAsia" w:ascii="宋体" w:hAnsi="宋体" w:eastAsia="宋体" w:cs="宋体"/>
                <w:i w:val="0"/>
                <w:iCs w:val="0"/>
                <w:color w:val="000000"/>
                <w:sz w:val="18"/>
                <w:szCs w:val="18"/>
                <w:u w:val="none"/>
              </w:rPr>
            </w:pP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6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A7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D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w:t>
            </w: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5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4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是</w:t>
            </w:r>
          </w:p>
        </w:tc>
        <w:tc>
          <w:tcPr>
            <w:tcW w:w="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5610">
            <w:pPr>
              <w:jc w:val="center"/>
              <w:rPr>
                <w:rFonts w:hint="eastAsia" w:ascii="宋体" w:hAnsi="宋体" w:eastAsia="宋体" w:cs="宋体"/>
                <w:i w:val="0"/>
                <w:iCs w:val="0"/>
                <w:color w:val="000000"/>
                <w:sz w:val="18"/>
                <w:szCs w:val="18"/>
                <w:u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2DD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是</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41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8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66571">
            <w:pPr>
              <w:jc w:val="center"/>
              <w:rPr>
                <w:rFonts w:hint="eastAsia" w:ascii="微软雅黑" w:hAnsi="微软雅黑" w:eastAsia="微软雅黑" w:cs="微软雅黑"/>
                <w:i/>
                <w:iCs/>
                <w:color w:val="000000"/>
                <w:sz w:val="16"/>
                <w:szCs w:val="16"/>
                <w:u w:val="none"/>
              </w:rPr>
            </w:pPr>
          </w:p>
        </w:tc>
      </w:tr>
      <w:tr w14:paraId="5DA9A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621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159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3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6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D43B">
            <w:pPr>
              <w:rPr>
                <w:rFonts w:hint="eastAsia" w:ascii="宋体" w:hAnsi="宋体" w:eastAsia="宋体" w:cs="宋体"/>
                <w:i w:val="0"/>
                <w:iCs w:val="0"/>
                <w:color w:val="000000"/>
                <w:sz w:val="18"/>
                <w:szCs w:val="18"/>
                <w:u w:val="none"/>
              </w:rPr>
            </w:pPr>
          </w:p>
        </w:tc>
      </w:tr>
      <w:tr w14:paraId="7E198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8D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89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32A9D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综合行政执法工作经费</w:t>
            </w:r>
          </w:p>
        </w:tc>
      </w:tr>
      <w:tr w14:paraId="7CC50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47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89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B16E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47FD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2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89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20D19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3567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42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A184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0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79BF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445B48F5">
      <w:pPr>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3"/>
        <w:tblW w:w="8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27"/>
        <w:gridCol w:w="909"/>
        <w:gridCol w:w="1115"/>
        <w:gridCol w:w="396"/>
        <w:gridCol w:w="842"/>
        <w:gridCol w:w="396"/>
        <w:gridCol w:w="756"/>
        <w:gridCol w:w="486"/>
        <w:gridCol w:w="486"/>
        <w:gridCol w:w="1291"/>
      </w:tblGrid>
      <w:tr w14:paraId="66E38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A8933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B696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60C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0AEC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51198924T000011085470-党建经费</w:t>
            </w:r>
          </w:p>
        </w:tc>
      </w:tr>
      <w:tr w14:paraId="1CD07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16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A95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9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C7EC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巴中市光雾山诺水河文旅融合发展示范区综合行政执法局部门</w:t>
            </w:r>
          </w:p>
        </w:tc>
        <w:tc>
          <w:tcPr>
            <w:tcW w:w="640" w:type="dxa"/>
            <w:tcBorders>
              <w:top w:val="nil"/>
              <w:left w:val="nil"/>
              <w:bottom w:val="nil"/>
              <w:right w:val="nil"/>
            </w:tcBorders>
            <w:shd w:val="clear" w:color="auto" w:fill="auto"/>
            <w:vAlign w:val="center"/>
          </w:tcPr>
          <w:p w14:paraId="2DD19B47">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814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巴中市光雾山诺水河文旅融合发展示范区综合行政执法局</w:t>
            </w:r>
          </w:p>
        </w:tc>
      </w:tr>
      <w:tr w14:paraId="2D8F9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405C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FEE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9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527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C9F00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B72A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7"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F47B2">
            <w:pPr>
              <w:rPr>
                <w:rFonts w:hint="eastAsia" w:ascii="宋体" w:hAnsi="宋体" w:eastAsia="宋体" w:cs="宋体"/>
                <w:i w:val="0"/>
                <w:iCs w:val="0"/>
                <w:color w:val="000000"/>
                <w:sz w:val="18"/>
                <w:szCs w:val="18"/>
                <w:u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9346A">
            <w:pPr>
              <w:rPr>
                <w:rFonts w:hint="eastAsia" w:ascii="宋体" w:hAnsi="宋体" w:eastAsia="宋体" w:cs="宋体"/>
                <w:i w:val="0"/>
                <w:iCs w:val="0"/>
                <w:color w:val="000000"/>
                <w:sz w:val="18"/>
                <w:szCs w:val="18"/>
                <w:u w:val="none"/>
              </w:rPr>
            </w:pPr>
          </w:p>
        </w:tc>
        <w:tc>
          <w:tcPr>
            <w:tcW w:w="39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B088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加强党员学习教育，开展各项主题教育学习活动，</w:t>
            </w:r>
            <w:r>
              <w:rPr>
                <w:rFonts w:hint="eastAsia" w:ascii="宋体" w:hAnsi="宋体" w:cs="宋体"/>
                <w:i w:val="0"/>
                <w:iCs w:val="0"/>
                <w:color w:val="000000"/>
                <w:kern w:val="0"/>
                <w:sz w:val="18"/>
                <w:szCs w:val="18"/>
                <w:u w:val="none"/>
                <w:lang w:val="en-US" w:eastAsia="zh-CN" w:bidi="ar"/>
              </w:rPr>
              <w:t>提高</w:t>
            </w:r>
            <w:r>
              <w:rPr>
                <w:rFonts w:ascii="宋体" w:hAnsi="宋体" w:eastAsia="宋体" w:cs="宋体"/>
                <w:i w:val="0"/>
                <w:iCs w:val="0"/>
                <w:color w:val="000000"/>
                <w:kern w:val="0"/>
                <w:sz w:val="18"/>
                <w:szCs w:val="18"/>
                <w:u w:val="none"/>
                <w:lang w:val="en-US" w:eastAsia="zh-CN" w:bidi="ar"/>
              </w:rPr>
              <w:t>党员的凝聚力、战斗力、更好</w:t>
            </w:r>
            <w:r>
              <w:rPr>
                <w:rFonts w:hint="eastAsia" w:ascii="宋体" w:hAnsi="宋体" w:cs="宋体"/>
                <w:i w:val="0"/>
                <w:iCs w:val="0"/>
                <w:color w:val="000000"/>
                <w:kern w:val="0"/>
                <w:sz w:val="18"/>
                <w:szCs w:val="18"/>
                <w:u w:val="none"/>
                <w:lang w:val="en-US" w:eastAsia="zh-CN" w:bidi="ar"/>
              </w:rPr>
              <w:t>地</w:t>
            </w:r>
            <w:r>
              <w:rPr>
                <w:rFonts w:ascii="宋体" w:hAnsi="宋体" w:eastAsia="宋体" w:cs="宋体"/>
                <w:i w:val="0"/>
                <w:iCs w:val="0"/>
                <w:color w:val="000000"/>
                <w:kern w:val="0"/>
                <w:sz w:val="18"/>
                <w:szCs w:val="18"/>
                <w:u w:val="none"/>
                <w:lang w:val="en-US" w:eastAsia="zh-CN" w:bidi="ar"/>
              </w:rPr>
              <w:t>全心全意为人民服务。</w:t>
            </w:r>
          </w:p>
        </w:tc>
        <w:tc>
          <w:tcPr>
            <w:tcW w:w="27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2648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加强党员学习教育，开展各项主题教育学习活动，提高党员的凝聚力、战斗力、更好地全心全意为人民服务。</w:t>
            </w:r>
          </w:p>
        </w:tc>
      </w:tr>
      <w:tr w14:paraId="12FB6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E85E9">
            <w:pPr>
              <w:rPr>
                <w:rFonts w:hint="eastAsia" w:ascii="宋体" w:hAnsi="宋体" w:eastAsia="宋体" w:cs="宋体"/>
                <w:i w:val="0"/>
                <w:iCs w:val="0"/>
                <w:color w:val="000000"/>
                <w:sz w:val="18"/>
                <w:szCs w:val="18"/>
                <w:u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83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0600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加强党员学习教育，开展各项主题教育学习活动，</w:t>
            </w:r>
            <w:r>
              <w:rPr>
                <w:rFonts w:hint="eastAsia" w:ascii="宋体" w:hAnsi="宋体" w:cs="宋体"/>
                <w:i w:val="0"/>
                <w:iCs w:val="0"/>
                <w:color w:val="000000"/>
                <w:kern w:val="0"/>
                <w:sz w:val="18"/>
                <w:szCs w:val="18"/>
                <w:u w:val="none"/>
                <w:lang w:val="en-US" w:eastAsia="zh-CN" w:bidi="ar"/>
              </w:rPr>
              <w:t>提高</w:t>
            </w:r>
            <w:r>
              <w:rPr>
                <w:rFonts w:ascii="宋体" w:hAnsi="宋体" w:eastAsia="宋体" w:cs="宋体"/>
                <w:i w:val="0"/>
                <w:iCs w:val="0"/>
                <w:color w:val="000000"/>
                <w:kern w:val="0"/>
                <w:sz w:val="18"/>
                <w:szCs w:val="18"/>
                <w:u w:val="none"/>
                <w:lang w:val="en-US" w:eastAsia="zh-CN" w:bidi="ar"/>
              </w:rPr>
              <w:t>党员的凝聚力、战斗力、更好</w:t>
            </w:r>
            <w:r>
              <w:rPr>
                <w:rFonts w:hint="eastAsia" w:ascii="宋体" w:hAnsi="宋体" w:cs="宋体"/>
                <w:i w:val="0"/>
                <w:iCs w:val="0"/>
                <w:color w:val="000000"/>
                <w:kern w:val="0"/>
                <w:sz w:val="18"/>
                <w:szCs w:val="18"/>
                <w:u w:val="none"/>
                <w:lang w:val="en-US" w:eastAsia="zh-CN" w:bidi="ar"/>
              </w:rPr>
              <w:t>地</w:t>
            </w:r>
            <w:r>
              <w:rPr>
                <w:rFonts w:ascii="宋体" w:hAnsi="宋体" w:eastAsia="宋体" w:cs="宋体"/>
                <w:i w:val="0"/>
                <w:iCs w:val="0"/>
                <w:color w:val="000000"/>
                <w:kern w:val="0"/>
                <w:sz w:val="18"/>
                <w:szCs w:val="18"/>
                <w:u w:val="none"/>
                <w:lang w:val="en-US" w:eastAsia="zh-CN" w:bidi="ar"/>
              </w:rPr>
              <w:t>全心全意为人民服务。</w:t>
            </w:r>
          </w:p>
        </w:tc>
      </w:tr>
      <w:tr w14:paraId="180A3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AD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2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03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D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DB1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C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B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0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E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656B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B8CDE">
            <w:pPr>
              <w:jc w:val="center"/>
              <w:rPr>
                <w:rFonts w:hint="eastAsia" w:ascii="宋体" w:hAnsi="宋体" w:eastAsia="宋体" w:cs="宋体"/>
                <w:i w:val="0"/>
                <w:iCs w:val="0"/>
                <w:color w:val="000000"/>
                <w:sz w:val="18"/>
                <w:szCs w:val="18"/>
                <w:u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A4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3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C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60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6.45</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A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80.63%</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5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9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5538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1E9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D093D">
            <w:pPr>
              <w:jc w:val="center"/>
              <w:rPr>
                <w:rFonts w:hint="eastAsia" w:ascii="宋体" w:hAnsi="宋体" w:eastAsia="宋体" w:cs="宋体"/>
                <w:i w:val="0"/>
                <w:iCs w:val="0"/>
                <w:color w:val="000000"/>
                <w:sz w:val="18"/>
                <w:szCs w:val="18"/>
                <w:u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1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9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D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E18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6.45</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2F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80.63%</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8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C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5983">
            <w:pPr>
              <w:rPr>
                <w:rFonts w:hint="eastAsia" w:ascii="黑体" w:hAnsi="黑体" w:eastAsia="黑体" w:cs="黑体"/>
                <w:i/>
                <w:iCs/>
                <w:color w:val="000000"/>
                <w:sz w:val="18"/>
                <w:szCs w:val="18"/>
                <w:u w:val="none"/>
              </w:rPr>
            </w:pPr>
          </w:p>
        </w:tc>
      </w:tr>
      <w:tr w14:paraId="62701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B304D">
            <w:pPr>
              <w:jc w:val="center"/>
              <w:rPr>
                <w:rFonts w:hint="eastAsia" w:ascii="宋体" w:hAnsi="宋体" w:eastAsia="宋体" w:cs="宋体"/>
                <w:i w:val="0"/>
                <w:iCs w:val="0"/>
                <w:color w:val="000000"/>
                <w:sz w:val="18"/>
                <w:szCs w:val="18"/>
                <w:u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4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3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D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20D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6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1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B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744A8">
            <w:pPr>
              <w:rPr>
                <w:rFonts w:hint="eastAsia" w:ascii="黑体" w:hAnsi="黑体" w:eastAsia="黑体" w:cs="黑体"/>
                <w:i/>
                <w:iCs/>
                <w:color w:val="000000"/>
                <w:sz w:val="18"/>
                <w:szCs w:val="18"/>
                <w:u w:val="none"/>
              </w:rPr>
            </w:pPr>
          </w:p>
        </w:tc>
      </w:tr>
      <w:tr w14:paraId="26712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4CDE9">
            <w:pPr>
              <w:jc w:val="center"/>
              <w:rPr>
                <w:rFonts w:hint="eastAsia" w:ascii="宋体" w:hAnsi="宋体" w:eastAsia="宋体" w:cs="宋体"/>
                <w:i w:val="0"/>
                <w:iCs w:val="0"/>
                <w:color w:val="000000"/>
                <w:sz w:val="18"/>
                <w:szCs w:val="18"/>
                <w:u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5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E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E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29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6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6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E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58485">
            <w:pPr>
              <w:rPr>
                <w:rFonts w:hint="eastAsia" w:ascii="黑体" w:hAnsi="黑体" w:eastAsia="黑体" w:cs="黑体"/>
                <w:i/>
                <w:iCs/>
                <w:color w:val="000000"/>
                <w:sz w:val="18"/>
                <w:szCs w:val="18"/>
                <w:u w:val="none"/>
              </w:rPr>
            </w:pPr>
          </w:p>
        </w:tc>
      </w:tr>
      <w:tr w14:paraId="7F46D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BA60E">
            <w:pPr>
              <w:jc w:val="center"/>
              <w:rPr>
                <w:rFonts w:hint="eastAsia" w:ascii="宋体" w:hAnsi="宋体" w:eastAsia="宋体" w:cs="宋体"/>
                <w:i w:val="0"/>
                <w:iCs w:val="0"/>
                <w:color w:val="000000"/>
                <w:sz w:val="18"/>
                <w:szCs w:val="18"/>
                <w:u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C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4107">
            <w:pPr>
              <w:jc w:val="center"/>
              <w:rPr>
                <w:rFonts w:hint="eastAsia" w:ascii="微软雅黑" w:hAnsi="微软雅黑" w:eastAsia="微软雅黑" w:cs="微软雅黑"/>
                <w:i/>
                <w:iCs/>
                <w:color w:val="000000"/>
                <w:sz w:val="16"/>
                <w:szCs w:val="16"/>
                <w:u w:val="none"/>
              </w:rPr>
            </w:pP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A1AF">
            <w:pPr>
              <w:jc w:val="center"/>
              <w:rPr>
                <w:rFonts w:hint="eastAsia" w:ascii="微软雅黑" w:hAnsi="微软雅黑" w:eastAsia="微软雅黑" w:cs="微软雅黑"/>
                <w:i/>
                <w:iCs/>
                <w:color w:val="000000"/>
                <w:sz w:val="16"/>
                <w:szCs w:val="16"/>
                <w:u w:val="none"/>
              </w:rPr>
            </w:pPr>
          </w:p>
        </w:tc>
        <w:tc>
          <w:tcPr>
            <w:tcW w:w="1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23F339">
            <w:pPr>
              <w:jc w:val="center"/>
              <w:rPr>
                <w:rFonts w:hint="eastAsia" w:ascii="微软雅黑" w:hAnsi="微软雅黑" w:eastAsia="微软雅黑" w:cs="微软雅黑"/>
                <w:i/>
                <w:iCs/>
                <w:color w:val="000000"/>
                <w:sz w:val="16"/>
                <w:szCs w:val="16"/>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C325">
            <w:pPr>
              <w:jc w:val="center"/>
              <w:rPr>
                <w:rFonts w:hint="eastAsia" w:ascii="微软雅黑" w:hAnsi="微软雅黑" w:eastAsia="微软雅黑" w:cs="微软雅黑"/>
                <w:i/>
                <w:iCs/>
                <w:color w:val="000000"/>
                <w:sz w:val="16"/>
                <w:szCs w:val="16"/>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9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1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D76A0">
            <w:pPr>
              <w:rPr>
                <w:rFonts w:hint="eastAsia" w:ascii="黑体" w:hAnsi="黑体" w:eastAsia="黑体" w:cs="黑体"/>
                <w:i/>
                <w:iCs/>
                <w:color w:val="000000"/>
                <w:sz w:val="18"/>
                <w:szCs w:val="18"/>
                <w:u w:val="none"/>
              </w:rPr>
            </w:pPr>
          </w:p>
        </w:tc>
      </w:tr>
      <w:tr w14:paraId="45B3B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3" w:hRule="atLeast"/>
        </w:trPr>
        <w:tc>
          <w:tcPr>
            <w:tcW w:w="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CB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E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FD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A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5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9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25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E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6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5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D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B77B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075F1">
            <w:pPr>
              <w:jc w:val="center"/>
              <w:rPr>
                <w:rFonts w:hint="eastAsia" w:ascii="宋体" w:hAnsi="宋体" w:eastAsia="宋体" w:cs="宋体"/>
                <w:i w:val="0"/>
                <w:iCs w:val="0"/>
                <w:color w:val="000000"/>
                <w:sz w:val="18"/>
                <w:szCs w:val="18"/>
                <w:u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A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4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E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1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A7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08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A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A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5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BE658">
            <w:pPr>
              <w:jc w:val="center"/>
              <w:rPr>
                <w:rFonts w:hint="eastAsia" w:ascii="微软雅黑" w:hAnsi="微软雅黑" w:eastAsia="微软雅黑" w:cs="微软雅黑"/>
                <w:i/>
                <w:iCs/>
                <w:color w:val="000000"/>
                <w:sz w:val="16"/>
                <w:szCs w:val="16"/>
                <w:u w:val="none"/>
              </w:rPr>
            </w:pPr>
          </w:p>
        </w:tc>
      </w:tr>
      <w:tr w14:paraId="1ECD8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A92D4">
            <w:pPr>
              <w:jc w:val="center"/>
              <w:rPr>
                <w:rFonts w:hint="eastAsia" w:ascii="宋体" w:hAnsi="宋体" w:eastAsia="宋体" w:cs="宋体"/>
                <w:i w:val="0"/>
                <w:iCs w:val="0"/>
                <w:color w:val="000000"/>
                <w:sz w:val="18"/>
                <w:szCs w:val="18"/>
                <w:u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2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A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1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党员满意度</w:t>
            </w:r>
          </w:p>
        </w:tc>
        <w:tc>
          <w:tcPr>
            <w:tcW w:w="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834E">
            <w:pPr>
              <w:keepNext w:val="0"/>
              <w:keepLines w:val="0"/>
              <w:widowControl/>
              <w:suppressLineNumbers w:val="0"/>
              <w:jc w:val="center"/>
              <w:textAlignment w:val="center"/>
              <w:rPr>
                <w:rFonts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6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3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7A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8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4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8633">
            <w:pPr>
              <w:jc w:val="center"/>
              <w:rPr>
                <w:rFonts w:hint="eastAsia" w:ascii="微软雅黑" w:hAnsi="微软雅黑" w:eastAsia="微软雅黑" w:cs="微软雅黑"/>
                <w:i/>
                <w:iCs/>
                <w:color w:val="000000"/>
                <w:sz w:val="16"/>
                <w:szCs w:val="16"/>
                <w:u w:val="none"/>
              </w:rPr>
            </w:pPr>
          </w:p>
        </w:tc>
      </w:tr>
      <w:tr w14:paraId="6C847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57E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E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6D6C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04BE1">
            <w:pPr>
              <w:rPr>
                <w:rFonts w:hint="eastAsia" w:ascii="宋体" w:hAnsi="宋体" w:eastAsia="宋体" w:cs="宋体"/>
                <w:i w:val="0"/>
                <w:iCs w:val="0"/>
                <w:color w:val="000000"/>
                <w:sz w:val="18"/>
                <w:szCs w:val="18"/>
                <w:u w:val="none"/>
              </w:rPr>
            </w:pPr>
          </w:p>
        </w:tc>
      </w:tr>
      <w:tr w14:paraId="666B5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37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87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10E02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加强党员学习教育，开展各项主题教育学习活动，提高党员的凝聚力、战斗力、更好地全心全意为人民服务。</w:t>
            </w:r>
          </w:p>
        </w:tc>
      </w:tr>
      <w:tr w14:paraId="62B67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5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87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3B002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93C4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7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87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6D0E2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E08F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427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F12D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0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C42C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64BF93BB">
      <w:pPr>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3"/>
        <w:tblW w:w="8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8"/>
        <w:gridCol w:w="1022"/>
        <w:gridCol w:w="904"/>
        <w:gridCol w:w="1109"/>
        <w:gridCol w:w="397"/>
        <w:gridCol w:w="839"/>
        <w:gridCol w:w="399"/>
        <w:gridCol w:w="759"/>
        <w:gridCol w:w="488"/>
        <w:gridCol w:w="488"/>
        <w:gridCol w:w="1317"/>
      </w:tblGrid>
      <w:tr w14:paraId="433FA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8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77EC9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AA3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6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129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7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D1FE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51198925T000012873588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驻村工作队驻村队员经费</w:t>
            </w:r>
          </w:p>
        </w:tc>
      </w:tr>
      <w:tr w14:paraId="05C6E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16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5CE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C8BB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巴中市光雾山诺水河文旅融合发展示范区综合行政执法局部门</w:t>
            </w:r>
          </w:p>
        </w:tc>
        <w:tc>
          <w:tcPr>
            <w:tcW w:w="759" w:type="dxa"/>
            <w:tcBorders>
              <w:top w:val="nil"/>
              <w:left w:val="nil"/>
              <w:bottom w:val="nil"/>
              <w:right w:val="nil"/>
            </w:tcBorders>
            <w:shd w:val="clear" w:color="auto" w:fill="auto"/>
            <w:vAlign w:val="center"/>
          </w:tcPr>
          <w:p w14:paraId="3DB6A9A4">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D8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巴中市光雾山诺水河文旅融合发展示范区综合行政执法局</w:t>
            </w:r>
          </w:p>
        </w:tc>
      </w:tr>
      <w:tr w14:paraId="12D7A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5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7F4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1543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963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0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047CE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2924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A833F">
            <w:pPr>
              <w:rPr>
                <w:rFonts w:hint="eastAsia" w:ascii="宋体" w:hAnsi="宋体" w:eastAsia="宋体" w:cs="宋体"/>
                <w:i w:val="0"/>
                <w:iCs w:val="0"/>
                <w:color w:val="000000"/>
                <w:sz w:val="18"/>
                <w:szCs w:val="18"/>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4518F">
            <w:pPr>
              <w:rPr>
                <w:rFonts w:hint="eastAsia" w:ascii="宋体" w:hAnsi="宋体" w:eastAsia="宋体" w:cs="宋体"/>
                <w:i w:val="0"/>
                <w:iCs w:val="0"/>
                <w:color w:val="000000"/>
                <w:sz w:val="18"/>
                <w:szCs w:val="18"/>
                <w:u w:val="none"/>
              </w:rPr>
            </w:pPr>
          </w:p>
        </w:tc>
        <w:tc>
          <w:tcPr>
            <w:tcW w:w="36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B619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2025年驻村工作队员工作经费及时发放</w:t>
            </w:r>
          </w:p>
        </w:tc>
        <w:tc>
          <w:tcPr>
            <w:tcW w:w="305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F5AA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2025年驻村工作队员工作经费及时发放</w:t>
            </w:r>
          </w:p>
        </w:tc>
      </w:tr>
      <w:tr w14:paraId="30FCC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5281A">
            <w:pPr>
              <w:rPr>
                <w:rFonts w:hint="eastAsia" w:ascii="宋体" w:hAnsi="宋体" w:eastAsia="宋体" w:cs="宋体"/>
                <w:i w:val="0"/>
                <w:iCs w:val="0"/>
                <w:color w:val="000000"/>
                <w:sz w:val="18"/>
                <w:szCs w:val="18"/>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72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7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F582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2025年驻村工作队员工作经费及时发放</w:t>
            </w:r>
          </w:p>
        </w:tc>
      </w:tr>
      <w:tr w14:paraId="26233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F97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8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C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B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DE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C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7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A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5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578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8CBAA">
            <w:pPr>
              <w:jc w:val="center"/>
              <w:rPr>
                <w:rFonts w:hint="eastAsia" w:ascii="宋体" w:hAnsi="宋体" w:eastAsia="宋体" w:cs="宋体"/>
                <w:i w:val="0"/>
                <w:iCs w:val="0"/>
                <w:color w:val="000000"/>
                <w:sz w:val="18"/>
                <w:szCs w:val="18"/>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1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D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D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6A0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5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84.83%</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2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0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503B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B0D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A48E9">
            <w:pPr>
              <w:jc w:val="center"/>
              <w:rPr>
                <w:rFonts w:hint="eastAsia" w:ascii="宋体" w:hAnsi="宋体" w:eastAsia="宋体" w:cs="宋体"/>
                <w:i w:val="0"/>
                <w:iCs w:val="0"/>
                <w:color w:val="000000"/>
                <w:sz w:val="18"/>
                <w:szCs w:val="18"/>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02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2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A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CA9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3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84.83%</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7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8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F689E">
            <w:pPr>
              <w:rPr>
                <w:rFonts w:hint="eastAsia" w:ascii="黑体" w:hAnsi="黑体" w:eastAsia="黑体" w:cs="黑体"/>
                <w:i/>
                <w:iCs/>
                <w:color w:val="000000"/>
                <w:sz w:val="18"/>
                <w:szCs w:val="18"/>
                <w:u w:val="none"/>
              </w:rPr>
            </w:pPr>
          </w:p>
        </w:tc>
      </w:tr>
      <w:tr w14:paraId="5ABC5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2DCB2">
            <w:pPr>
              <w:jc w:val="center"/>
              <w:rPr>
                <w:rFonts w:hint="eastAsia" w:ascii="宋体" w:hAnsi="宋体" w:eastAsia="宋体" w:cs="宋体"/>
                <w:i w:val="0"/>
                <w:iCs w:val="0"/>
                <w:color w:val="000000"/>
                <w:sz w:val="18"/>
                <w:szCs w:val="18"/>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0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B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B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926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3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0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F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889B3">
            <w:pPr>
              <w:rPr>
                <w:rFonts w:hint="eastAsia" w:ascii="黑体" w:hAnsi="黑体" w:eastAsia="黑体" w:cs="黑体"/>
                <w:i/>
                <w:iCs/>
                <w:color w:val="000000"/>
                <w:sz w:val="18"/>
                <w:szCs w:val="18"/>
                <w:u w:val="none"/>
              </w:rPr>
            </w:pPr>
          </w:p>
        </w:tc>
      </w:tr>
      <w:tr w14:paraId="584C6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989F5">
            <w:pPr>
              <w:jc w:val="center"/>
              <w:rPr>
                <w:rFonts w:hint="eastAsia" w:ascii="宋体" w:hAnsi="宋体" w:eastAsia="宋体" w:cs="宋体"/>
                <w:i w:val="0"/>
                <w:iCs w:val="0"/>
                <w:color w:val="000000"/>
                <w:sz w:val="18"/>
                <w:szCs w:val="18"/>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1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D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7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880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E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4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81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2849D">
            <w:pPr>
              <w:rPr>
                <w:rFonts w:hint="eastAsia" w:ascii="黑体" w:hAnsi="黑体" w:eastAsia="黑体" w:cs="黑体"/>
                <w:i/>
                <w:iCs/>
                <w:color w:val="000000"/>
                <w:sz w:val="18"/>
                <w:szCs w:val="18"/>
                <w:u w:val="none"/>
              </w:rPr>
            </w:pPr>
          </w:p>
        </w:tc>
      </w:tr>
      <w:tr w14:paraId="109FF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2"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2237F">
            <w:pPr>
              <w:jc w:val="center"/>
              <w:rPr>
                <w:rFonts w:hint="eastAsia" w:ascii="宋体" w:hAnsi="宋体" w:eastAsia="宋体" w:cs="宋体"/>
                <w:i w:val="0"/>
                <w:iCs w:val="0"/>
                <w:color w:val="000000"/>
                <w:sz w:val="18"/>
                <w:szCs w:val="18"/>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0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3AF54">
            <w:pPr>
              <w:jc w:val="center"/>
              <w:rPr>
                <w:rFonts w:hint="eastAsia" w:ascii="微软雅黑" w:hAnsi="微软雅黑" w:eastAsia="微软雅黑" w:cs="微软雅黑"/>
                <w:i/>
                <w:iCs/>
                <w:color w:val="000000"/>
                <w:sz w:val="16"/>
                <w:szCs w:val="16"/>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5EF3">
            <w:pPr>
              <w:jc w:val="center"/>
              <w:rPr>
                <w:rFonts w:hint="eastAsia" w:ascii="微软雅黑" w:hAnsi="微软雅黑" w:eastAsia="微软雅黑" w:cs="微软雅黑"/>
                <w:i/>
                <w:iCs/>
                <w:color w:val="000000"/>
                <w:sz w:val="16"/>
                <w:szCs w:val="16"/>
                <w:u w:val="none"/>
              </w:rPr>
            </w:pPr>
          </w:p>
        </w:tc>
        <w:tc>
          <w:tcPr>
            <w:tcW w:w="16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C80B2A">
            <w:pPr>
              <w:jc w:val="center"/>
              <w:rPr>
                <w:rFonts w:hint="eastAsia" w:ascii="微软雅黑" w:hAnsi="微软雅黑" w:eastAsia="微软雅黑" w:cs="微软雅黑"/>
                <w:i/>
                <w:iCs/>
                <w:color w:val="000000"/>
                <w:sz w:val="16"/>
                <w:szCs w:val="16"/>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FB1F">
            <w:pPr>
              <w:jc w:val="center"/>
              <w:rPr>
                <w:rFonts w:hint="eastAsia" w:ascii="微软雅黑" w:hAnsi="微软雅黑" w:eastAsia="微软雅黑" w:cs="微软雅黑"/>
                <w:i/>
                <w:iCs/>
                <w:color w:val="000000"/>
                <w:sz w:val="16"/>
                <w:szCs w:val="16"/>
                <w:u w:val="none"/>
              </w:rPr>
            </w:pP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D5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3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D1B86">
            <w:pPr>
              <w:rPr>
                <w:rFonts w:hint="eastAsia" w:ascii="黑体" w:hAnsi="黑体" w:eastAsia="黑体" w:cs="黑体"/>
                <w:i/>
                <w:iCs/>
                <w:color w:val="000000"/>
                <w:sz w:val="18"/>
                <w:szCs w:val="18"/>
                <w:u w:val="none"/>
              </w:rPr>
            </w:pPr>
          </w:p>
        </w:tc>
      </w:tr>
      <w:tr w14:paraId="0F5DC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trPr>
        <w:tc>
          <w:tcPr>
            <w:tcW w:w="5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2B0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26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1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A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D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6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3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0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7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B4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E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8EAE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9AA8">
            <w:pPr>
              <w:jc w:val="center"/>
              <w:rPr>
                <w:rFonts w:hint="eastAsia" w:ascii="宋体" w:hAnsi="宋体" w:eastAsia="宋体" w:cs="宋体"/>
                <w:i w:val="0"/>
                <w:iCs w:val="0"/>
                <w:color w:val="000000"/>
                <w:sz w:val="18"/>
                <w:szCs w:val="18"/>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C1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4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5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资金到位率</w:t>
            </w:r>
          </w:p>
        </w:tc>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F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8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B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752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7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0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4ABC">
            <w:pPr>
              <w:jc w:val="center"/>
              <w:rPr>
                <w:rFonts w:hint="eastAsia" w:ascii="微软雅黑" w:hAnsi="微软雅黑" w:eastAsia="微软雅黑" w:cs="微软雅黑"/>
                <w:i/>
                <w:iCs/>
                <w:color w:val="000000"/>
                <w:sz w:val="16"/>
                <w:szCs w:val="16"/>
                <w:u w:val="none"/>
              </w:rPr>
            </w:pPr>
          </w:p>
        </w:tc>
      </w:tr>
      <w:tr w14:paraId="12627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BB1FE">
            <w:pPr>
              <w:jc w:val="center"/>
              <w:rPr>
                <w:rFonts w:hint="eastAsia" w:ascii="宋体" w:hAnsi="宋体" w:eastAsia="宋体" w:cs="宋体"/>
                <w:i w:val="0"/>
                <w:iCs w:val="0"/>
                <w:color w:val="000000"/>
                <w:sz w:val="18"/>
                <w:szCs w:val="18"/>
                <w:u w:val="none"/>
              </w:rPr>
            </w:pP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9A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9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8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c>
          <w:tcPr>
            <w:tcW w:w="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8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6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F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92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2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3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0BE4">
            <w:pPr>
              <w:jc w:val="center"/>
              <w:rPr>
                <w:rFonts w:hint="eastAsia" w:ascii="微软雅黑" w:hAnsi="微软雅黑" w:eastAsia="微软雅黑" w:cs="微软雅黑"/>
                <w:i/>
                <w:iCs/>
                <w:color w:val="000000"/>
                <w:sz w:val="16"/>
                <w:szCs w:val="16"/>
                <w:u w:val="none"/>
              </w:rPr>
            </w:pPr>
          </w:p>
        </w:tc>
      </w:tr>
      <w:tr w14:paraId="3C2FD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600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FB6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7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B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9613">
            <w:pPr>
              <w:rPr>
                <w:rFonts w:hint="eastAsia" w:ascii="宋体" w:hAnsi="宋体" w:eastAsia="宋体" w:cs="宋体"/>
                <w:i w:val="0"/>
                <w:iCs w:val="0"/>
                <w:color w:val="000000"/>
                <w:sz w:val="18"/>
                <w:szCs w:val="18"/>
                <w:u w:val="none"/>
              </w:rPr>
            </w:pPr>
          </w:p>
        </w:tc>
      </w:tr>
      <w:tr w14:paraId="25105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F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2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2808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2025年驻村工作队员工作经费及时发放</w:t>
            </w:r>
          </w:p>
        </w:tc>
      </w:tr>
      <w:tr w14:paraId="51E5A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8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2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1B0BB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540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0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2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8E7B7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C22C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4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6D0F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2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4FB9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26903A2C">
      <w:pPr>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3"/>
        <w:tblW w:w="8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00"/>
        <w:gridCol w:w="887"/>
        <w:gridCol w:w="1111"/>
        <w:gridCol w:w="396"/>
        <w:gridCol w:w="820"/>
        <w:gridCol w:w="396"/>
        <w:gridCol w:w="846"/>
        <w:gridCol w:w="486"/>
        <w:gridCol w:w="486"/>
        <w:gridCol w:w="1276"/>
      </w:tblGrid>
      <w:tr w14:paraId="77322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6AEF9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B9F8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6D4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B89C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51198925T000013827937-文旅示范区综合执法部执法制式服装更换和配发经费</w:t>
            </w:r>
          </w:p>
        </w:tc>
      </w:tr>
      <w:tr w14:paraId="1DB24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3" w:hRule="atLeast"/>
        </w:trPr>
        <w:tc>
          <w:tcPr>
            <w:tcW w:w="1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903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6391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巴中市光雾山诺水河文旅融合发展示范区综合行政执法局部门</w:t>
            </w:r>
          </w:p>
        </w:tc>
        <w:tc>
          <w:tcPr>
            <w:tcW w:w="778" w:type="dxa"/>
            <w:tcBorders>
              <w:top w:val="nil"/>
              <w:left w:val="nil"/>
              <w:bottom w:val="nil"/>
              <w:right w:val="nil"/>
            </w:tcBorders>
            <w:shd w:val="clear" w:color="auto" w:fill="auto"/>
            <w:vAlign w:val="center"/>
          </w:tcPr>
          <w:p w14:paraId="12A8A67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568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巴中市光雾山诺水河文旅融合发展示范区综合行政执法局</w:t>
            </w:r>
          </w:p>
        </w:tc>
      </w:tr>
      <w:tr w14:paraId="2ECA7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2E4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8D2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A87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0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3B4E1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8E43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8"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EBDE5">
            <w:pPr>
              <w:rPr>
                <w:rFonts w:hint="eastAsia" w:ascii="宋体" w:hAnsi="宋体" w:eastAsia="宋体" w:cs="宋体"/>
                <w:i w:val="0"/>
                <w:iCs w:val="0"/>
                <w:color w:val="000000"/>
                <w:sz w:val="18"/>
                <w:szCs w:val="18"/>
                <w:u w:val="none"/>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88727">
            <w:pPr>
              <w:rPr>
                <w:rFonts w:hint="eastAsia" w:ascii="宋体" w:hAnsi="宋体" w:eastAsia="宋体" w:cs="宋体"/>
                <w:i w:val="0"/>
                <w:iCs w:val="0"/>
                <w:color w:val="000000"/>
                <w:sz w:val="18"/>
                <w:szCs w:val="18"/>
                <w:u w:val="none"/>
              </w:rPr>
            </w:pPr>
          </w:p>
        </w:tc>
        <w:tc>
          <w:tcPr>
            <w:tcW w:w="36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D167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按标准完成执法人员制式服装更换和配发，保障执法人员规范着装需求，规范公正文明执法，推进执法工作有效运行。</w:t>
            </w:r>
          </w:p>
        </w:tc>
        <w:tc>
          <w:tcPr>
            <w:tcW w:w="30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12C2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按标准完成执法人员制式服装更换和配发，保障执法人员规范着装需求，规范公正文明执法，推进执法工作有效运行。</w:t>
            </w:r>
          </w:p>
        </w:tc>
      </w:tr>
      <w:tr w14:paraId="12C57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3"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0A5A9">
            <w:pP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98D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354C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按标准完成执法人员制式服装更换和配发，保障执法人员规范着装需求，规范公正文明执法，推进执法工作有效运行。</w:t>
            </w:r>
          </w:p>
        </w:tc>
      </w:tr>
      <w:tr w14:paraId="3ACC3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2D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E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D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0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EC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D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D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F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1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9F00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FED0C">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C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5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2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10.73</w:t>
            </w: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7E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10.73</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A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8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0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1ED1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4EC5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73D3B">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DA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6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9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10.73</w:t>
            </w: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EB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10.73</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5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E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8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59116">
            <w:pPr>
              <w:rPr>
                <w:rFonts w:hint="eastAsia" w:ascii="黑体" w:hAnsi="黑体" w:eastAsia="黑体" w:cs="黑体"/>
                <w:i/>
                <w:iCs/>
                <w:color w:val="000000"/>
                <w:sz w:val="18"/>
                <w:szCs w:val="18"/>
                <w:u w:val="none"/>
              </w:rPr>
            </w:pPr>
          </w:p>
        </w:tc>
      </w:tr>
      <w:tr w14:paraId="46F9C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CE5DB">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6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7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C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005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B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D0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E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FF629">
            <w:pPr>
              <w:rPr>
                <w:rFonts w:hint="eastAsia" w:ascii="黑体" w:hAnsi="黑体" w:eastAsia="黑体" w:cs="黑体"/>
                <w:i/>
                <w:iCs/>
                <w:color w:val="000000"/>
                <w:sz w:val="18"/>
                <w:szCs w:val="18"/>
                <w:u w:val="none"/>
              </w:rPr>
            </w:pPr>
          </w:p>
        </w:tc>
      </w:tr>
      <w:tr w14:paraId="6EE44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1C701">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3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F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D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37E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7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0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8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F74C2">
            <w:pPr>
              <w:rPr>
                <w:rFonts w:hint="eastAsia" w:ascii="黑体" w:hAnsi="黑体" w:eastAsia="黑体" w:cs="黑体"/>
                <w:i/>
                <w:iCs/>
                <w:color w:val="000000"/>
                <w:sz w:val="18"/>
                <w:szCs w:val="18"/>
                <w:u w:val="none"/>
              </w:rPr>
            </w:pPr>
          </w:p>
        </w:tc>
      </w:tr>
      <w:tr w14:paraId="15455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2"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40E0E">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A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0C06">
            <w:pPr>
              <w:jc w:val="center"/>
              <w:rPr>
                <w:rFonts w:hint="eastAsia" w:ascii="微软雅黑" w:hAnsi="微软雅黑" w:eastAsia="微软雅黑" w:cs="微软雅黑"/>
                <w:i/>
                <w:iCs/>
                <w:color w:val="000000"/>
                <w:sz w:val="16"/>
                <w:szCs w:val="16"/>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A1FD9">
            <w:pPr>
              <w:jc w:val="center"/>
              <w:rPr>
                <w:rFonts w:hint="eastAsia" w:ascii="微软雅黑" w:hAnsi="微软雅黑" w:eastAsia="微软雅黑" w:cs="微软雅黑"/>
                <w:i/>
                <w:iCs/>
                <w:color w:val="000000"/>
                <w:sz w:val="16"/>
                <w:szCs w:val="16"/>
                <w:u w:val="none"/>
              </w:rPr>
            </w:pP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578C1">
            <w:pPr>
              <w:jc w:val="center"/>
              <w:rPr>
                <w:rFonts w:hint="eastAsia" w:ascii="微软雅黑" w:hAnsi="微软雅黑" w:eastAsia="微软雅黑" w:cs="微软雅黑"/>
                <w:i/>
                <w:iCs/>
                <w:color w:val="000000"/>
                <w:sz w:val="16"/>
                <w:szCs w:val="16"/>
                <w:u w:val="none"/>
              </w:rPr>
            </w:pP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05AD">
            <w:pPr>
              <w:jc w:val="center"/>
              <w:rPr>
                <w:rFonts w:hint="eastAsia" w:ascii="微软雅黑" w:hAnsi="微软雅黑" w:eastAsia="微软雅黑" w:cs="微软雅黑"/>
                <w:i/>
                <w:iCs/>
                <w:color w:val="000000"/>
                <w:sz w:val="16"/>
                <w:szCs w:val="16"/>
                <w:u w:val="none"/>
              </w:rPr>
            </w:pP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6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6A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27503">
            <w:pPr>
              <w:rPr>
                <w:rFonts w:hint="eastAsia" w:ascii="黑体" w:hAnsi="黑体" w:eastAsia="黑体" w:cs="黑体"/>
                <w:i/>
                <w:iCs/>
                <w:color w:val="000000"/>
                <w:sz w:val="18"/>
                <w:szCs w:val="18"/>
                <w:u w:val="none"/>
              </w:rPr>
            </w:pPr>
          </w:p>
        </w:tc>
      </w:tr>
      <w:tr w14:paraId="6A0A1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6" w:hRule="atLeast"/>
        </w:trPr>
        <w:tc>
          <w:tcPr>
            <w:tcW w:w="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AF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9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4F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6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83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D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47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D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1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B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D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FDA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03404">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B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4E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3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CF9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7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C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3A1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84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3D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A949">
            <w:pPr>
              <w:jc w:val="center"/>
              <w:rPr>
                <w:rFonts w:hint="eastAsia" w:ascii="宋体" w:hAnsi="宋体" w:eastAsia="宋体" w:cs="宋体"/>
                <w:i w:val="0"/>
                <w:iCs w:val="0"/>
                <w:color w:val="000000"/>
                <w:sz w:val="18"/>
                <w:szCs w:val="18"/>
                <w:u w:val="none"/>
              </w:rPr>
            </w:pPr>
          </w:p>
        </w:tc>
      </w:tr>
      <w:tr w14:paraId="7EBA3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E4B75">
            <w:pPr>
              <w:jc w:val="center"/>
              <w:rPr>
                <w:rFonts w:hint="eastAsia" w:ascii="宋体" w:hAnsi="宋体" w:eastAsia="宋体" w:cs="宋体"/>
                <w:i w:val="0"/>
                <w:iCs w:val="0"/>
                <w:color w:val="000000"/>
                <w:sz w:val="18"/>
                <w:szCs w:val="18"/>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5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F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E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B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3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0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304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C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4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D9A9">
            <w:pPr>
              <w:jc w:val="center"/>
              <w:rPr>
                <w:rFonts w:hint="eastAsia" w:ascii="微软雅黑" w:hAnsi="微软雅黑" w:eastAsia="微软雅黑" w:cs="微软雅黑"/>
                <w:i/>
                <w:iCs/>
                <w:color w:val="000000"/>
                <w:sz w:val="16"/>
                <w:szCs w:val="16"/>
                <w:u w:val="none"/>
              </w:rPr>
            </w:pPr>
          </w:p>
        </w:tc>
      </w:tr>
      <w:tr w14:paraId="4206A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60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A8A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9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6A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98F6">
            <w:pPr>
              <w:rPr>
                <w:rFonts w:hint="eastAsia" w:ascii="宋体" w:hAnsi="宋体" w:eastAsia="宋体" w:cs="宋体"/>
                <w:i w:val="0"/>
                <w:iCs w:val="0"/>
                <w:color w:val="000000"/>
                <w:sz w:val="18"/>
                <w:szCs w:val="18"/>
                <w:u w:val="none"/>
              </w:rPr>
            </w:pPr>
          </w:p>
        </w:tc>
      </w:tr>
      <w:tr w14:paraId="46BEE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2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5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E9C0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按标准完成执法人员制式服装更换和配发，保障执法人员规范着装需求，规范公正文明执法，推进执法工作有效运行。</w:t>
            </w:r>
          </w:p>
        </w:tc>
      </w:tr>
      <w:tr w14:paraId="0912A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8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5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BCDFB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A119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F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5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D40E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EED4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 w:hRule="atLeast"/>
        </w:trPr>
        <w:tc>
          <w:tcPr>
            <w:tcW w:w="40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39FD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2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9890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68BF3800">
      <w:pPr>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3"/>
        <w:tblW w:w="8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00"/>
        <w:gridCol w:w="889"/>
        <w:gridCol w:w="1112"/>
        <w:gridCol w:w="396"/>
        <w:gridCol w:w="822"/>
        <w:gridCol w:w="396"/>
        <w:gridCol w:w="846"/>
        <w:gridCol w:w="486"/>
        <w:gridCol w:w="486"/>
        <w:gridCol w:w="1291"/>
      </w:tblGrid>
      <w:tr w14:paraId="45687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8" w:hRule="atLeast"/>
        </w:trPr>
        <w:tc>
          <w:tcPr>
            <w:tcW w:w="8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8F94E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6FA3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254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3989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51198925T000013858332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中央他省级财政自然灾害救灾资金</w:t>
            </w:r>
          </w:p>
        </w:tc>
      </w:tr>
      <w:tr w14:paraId="02F97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5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9AF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6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59AA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巴中市光雾山诺水河文旅融合发展示范区综合行政执法局部门</w:t>
            </w:r>
          </w:p>
        </w:tc>
        <w:tc>
          <w:tcPr>
            <w:tcW w:w="839" w:type="dxa"/>
            <w:tcBorders>
              <w:top w:val="nil"/>
              <w:left w:val="nil"/>
              <w:bottom w:val="nil"/>
              <w:right w:val="nil"/>
            </w:tcBorders>
            <w:shd w:val="clear" w:color="auto" w:fill="auto"/>
            <w:vAlign w:val="center"/>
          </w:tcPr>
          <w:p w14:paraId="1987D6C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24C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巴中市光雾山诺水河文旅融合发展示范区综合行政执法局</w:t>
            </w:r>
          </w:p>
        </w:tc>
      </w:tr>
      <w:tr w14:paraId="46052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5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887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3D0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6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7C9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2A0DC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EB2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073CF">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FF5F7">
            <w:pPr>
              <w:rPr>
                <w:rFonts w:hint="eastAsia" w:ascii="宋体" w:hAnsi="宋体" w:eastAsia="宋体" w:cs="宋体"/>
                <w:i w:val="0"/>
                <w:iCs w:val="0"/>
                <w:color w:val="000000"/>
                <w:sz w:val="18"/>
                <w:szCs w:val="18"/>
                <w:u w:val="none"/>
              </w:rPr>
            </w:pPr>
          </w:p>
        </w:tc>
        <w:tc>
          <w:tcPr>
            <w:tcW w:w="36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4DC1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做好受灾群众救助工作，维护社会稳定；及时足额发放救灾资金，确保受灾群众基本生活。</w:t>
            </w:r>
          </w:p>
        </w:tc>
        <w:tc>
          <w:tcPr>
            <w:tcW w:w="310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1D18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做好受灾群众救助工作，维护社会稳定；及时足额发放救灾资金，确保受灾群众基本生活。</w:t>
            </w:r>
          </w:p>
        </w:tc>
      </w:tr>
      <w:tr w14:paraId="78E86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A0A6A">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62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C1EC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做好受灾群众救助工作，维护社会稳定；及时足额发放救灾资金，确保受灾群众基本生活。</w:t>
            </w:r>
          </w:p>
        </w:tc>
      </w:tr>
      <w:tr w14:paraId="0CB51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80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8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5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E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77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D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C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08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C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86B0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8B92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C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9E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B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6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7FB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3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B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8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7DA6D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F2D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DEEB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1D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6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EF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6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55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3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5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6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B5964">
            <w:pPr>
              <w:rPr>
                <w:rFonts w:hint="eastAsia" w:ascii="黑体" w:hAnsi="黑体" w:eastAsia="黑体" w:cs="黑体"/>
                <w:i/>
                <w:iCs/>
                <w:color w:val="000000"/>
                <w:sz w:val="18"/>
                <w:szCs w:val="18"/>
                <w:u w:val="none"/>
              </w:rPr>
            </w:pPr>
          </w:p>
        </w:tc>
      </w:tr>
      <w:tr w14:paraId="2A962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9779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E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8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E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1D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B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8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1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717BF">
            <w:pPr>
              <w:rPr>
                <w:rFonts w:hint="eastAsia" w:ascii="黑体" w:hAnsi="黑体" w:eastAsia="黑体" w:cs="黑体"/>
                <w:i/>
                <w:iCs/>
                <w:color w:val="000000"/>
                <w:sz w:val="18"/>
                <w:szCs w:val="18"/>
                <w:u w:val="none"/>
              </w:rPr>
            </w:pPr>
          </w:p>
        </w:tc>
      </w:tr>
      <w:tr w14:paraId="4F77F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B3AF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0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D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7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76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DD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4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D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00A4C">
            <w:pPr>
              <w:rPr>
                <w:rFonts w:hint="eastAsia" w:ascii="黑体" w:hAnsi="黑体" w:eastAsia="黑体" w:cs="黑体"/>
                <w:i/>
                <w:iCs/>
                <w:color w:val="000000"/>
                <w:sz w:val="18"/>
                <w:szCs w:val="18"/>
                <w:u w:val="none"/>
              </w:rPr>
            </w:pPr>
          </w:p>
        </w:tc>
      </w:tr>
      <w:tr w14:paraId="33B5D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B403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C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C4B3">
            <w:pPr>
              <w:jc w:val="center"/>
              <w:rPr>
                <w:rFonts w:hint="eastAsia" w:ascii="微软雅黑" w:hAnsi="微软雅黑" w:eastAsia="微软雅黑" w:cs="微软雅黑"/>
                <w:i/>
                <w:iCs/>
                <w:color w:val="000000"/>
                <w:sz w:val="16"/>
                <w:szCs w:val="16"/>
                <w:u w:val="none"/>
              </w:rPr>
            </w:pP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C397">
            <w:pPr>
              <w:jc w:val="center"/>
              <w:rPr>
                <w:rFonts w:hint="eastAsia" w:ascii="微软雅黑" w:hAnsi="微软雅黑" w:eastAsia="微软雅黑" w:cs="微软雅黑"/>
                <w:i/>
                <w:iCs/>
                <w:color w:val="000000"/>
                <w:sz w:val="16"/>
                <w:szCs w:val="16"/>
                <w:u w:val="none"/>
              </w:rPr>
            </w:pPr>
          </w:p>
        </w:tc>
        <w:tc>
          <w:tcPr>
            <w:tcW w:w="16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22CA9">
            <w:pPr>
              <w:jc w:val="center"/>
              <w:rPr>
                <w:rFonts w:hint="eastAsia" w:ascii="微软雅黑" w:hAnsi="微软雅黑" w:eastAsia="微软雅黑" w:cs="微软雅黑"/>
                <w:i/>
                <w:iCs/>
                <w:color w:val="000000"/>
                <w:sz w:val="16"/>
                <w:szCs w:val="16"/>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4756">
            <w:pPr>
              <w:jc w:val="center"/>
              <w:rPr>
                <w:rFonts w:hint="eastAsia" w:ascii="微软雅黑" w:hAnsi="微软雅黑" w:eastAsia="微软雅黑" w:cs="微软雅黑"/>
                <w:i/>
                <w:iCs/>
                <w:color w:val="000000"/>
                <w:sz w:val="16"/>
                <w:szCs w:val="16"/>
                <w:u w:val="none"/>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04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D4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B8352">
            <w:pPr>
              <w:rPr>
                <w:rFonts w:hint="eastAsia" w:ascii="黑体" w:hAnsi="黑体" w:eastAsia="黑体" w:cs="黑体"/>
                <w:i/>
                <w:iCs/>
                <w:color w:val="000000"/>
                <w:sz w:val="18"/>
                <w:szCs w:val="18"/>
                <w:u w:val="none"/>
              </w:rPr>
            </w:pPr>
          </w:p>
        </w:tc>
      </w:tr>
      <w:tr w14:paraId="15736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9" w:hRule="atLeast"/>
        </w:trPr>
        <w:tc>
          <w:tcPr>
            <w:tcW w:w="5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0B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4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9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42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87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8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D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6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B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4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C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26C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AD362">
            <w:pPr>
              <w:jc w:val="center"/>
              <w:rPr>
                <w:rFonts w:hint="eastAsia" w:ascii="宋体" w:hAnsi="宋体" w:eastAsia="宋体" w:cs="宋体"/>
                <w:i w:val="0"/>
                <w:iCs w:val="0"/>
                <w:color w:val="000000"/>
                <w:sz w:val="18"/>
                <w:szCs w:val="18"/>
                <w:u w:val="none"/>
              </w:rPr>
            </w:pPr>
          </w:p>
        </w:tc>
        <w:tc>
          <w:tcPr>
            <w:tcW w:w="10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9B2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893" w:type="dxa"/>
            <w:tcBorders>
              <w:top w:val="single" w:color="000000" w:sz="8" w:space="0"/>
              <w:left w:val="nil"/>
              <w:bottom w:val="single" w:color="000000" w:sz="8" w:space="0"/>
              <w:right w:val="single" w:color="000000" w:sz="8" w:space="0"/>
            </w:tcBorders>
            <w:shd w:val="clear" w:color="auto" w:fill="auto"/>
            <w:vAlign w:val="center"/>
          </w:tcPr>
          <w:p w14:paraId="7E8ABE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117" w:type="dxa"/>
            <w:tcBorders>
              <w:top w:val="single" w:color="000000" w:sz="8" w:space="0"/>
              <w:left w:val="nil"/>
              <w:bottom w:val="single" w:color="000000" w:sz="8" w:space="0"/>
              <w:right w:val="single" w:color="000000" w:sz="8" w:space="0"/>
            </w:tcBorders>
            <w:shd w:val="clear" w:color="auto" w:fill="auto"/>
            <w:vAlign w:val="center"/>
          </w:tcPr>
          <w:p w14:paraId="1C42D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资金到位率</w:t>
            </w:r>
          </w:p>
        </w:tc>
        <w:tc>
          <w:tcPr>
            <w:tcW w:w="393" w:type="dxa"/>
            <w:tcBorders>
              <w:top w:val="single" w:color="000000" w:sz="8" w:space="0"/>
              <w:left w:val="nil"/>
              <w:bottom w:val="single" w:color="000000" w:sz="8" w:space="0"/>
              <w:right w:val="single" w:color="000000" w:sz="8" w:space="0"/>
            </w:tcBorders>
            <w:shd w:val="clear" w:color="auto" w:fill="auto"/>
            <w:vAlign w:val="center"/>
          </w:tcPr>
          <w:p w14:paraId="73D6B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26" w:type="dxa"/>
            <w:tcBorders>
              <w:top w:val="single" w:color="000000" w:sz="8" w:space="0"/>
              <w:left w:val="nil"/>
              <w:bottom w:val="single" w:color="000000" w:sz="8" w:space="0"/>
              <w:right w:val="single" w:color="000000" w:sz="8" w:space="0"/>
            </w:tcBorders>
            <w:shd w:val="clear" w:color="auto" w:fill="auto"/>
            <w:vAlign w:val="center"/>
          </w:tcPr>
          <w:p w14:paraId="27E4E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94" w:type="dxa"/>
            <w:tcBorders>
              <w:top w:val="single" w:color="000000" w:sz="8" w:space="0"/>
              <w:left w:val="nil"/>
              <w:bottom w:val="single" w:color="000000" w:sz="8" w:space="0"/>
              <w:right w:val="single" w:color="000000" w:sz="8" w:space="0"/>
            </w:tcBorders>
            <w:shd w:val="clear" w:color="auto" w:fill="auto"/>
            <w:vAlign w:val="center"/>
          </w:tcPr>
          <w:p w14:paraId="57734A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39" w:type="dxa"/>
            <w:tcBorders>
              <w:top w:val="single" w:color="000000" w:sz="8" w:space="0"/>
              <w:left w:val="nil"/>
              <w:bottom w:val="single" w:color="000000" w:sz="8" w:space="0"/>
              <w:right w:val="single" w:color="000000" w:sz="8" w:space="0"/>
            </w:tcBorders>
            <w:shd w:val="clear" w:color="auto" w:fill="auto"/>
            <w:vAlign w:val="center"/>
          </w:tcPr>
          <w:p w14:paraId="65E43A6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82" w:type="dxa"/>
            <w:tcBorders>
              <w:top w:val="single" w:color="000000" w:sz="8" w:space="0"/>
              <w:left w:val="nil"/>
              <w:bottom w:val="single" w:color="000000" w:sz="8" w:space="0"/>
              <w:right w:val="single" w:color="000000" w:sz="8" w:space="0"/>
            </w:tcBorders>
            <w:shd w:val="clear" w:color="auto" w:fill="auto"/>
            <w:vAlign w:val="center"/>
          </w:tcPr>
          <w:p w14:paraId="202520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482" w:type="dxa"/>
            <w:tcBorders>
              <w:top w:val="single" w:color="000000" w:sz="8" w:space="0"/>
              <w:left w:val="nil"/>
              <w:bottom w:val="single" w:color="000000" w:sz="8" w:space="0"/>
              <w:right w:val="single" w:color="000000" w:sz="8" w:space="0"/>
            </w:tcBorders>
            <w:shd w:val="clear" w:color="auto" w:fill="auto"/>
            <w:vAlign w:val="center"/>
          </w:tcPr>
          <w:p w14:paraId="6E396C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E678">
            <w:pPr>
              <w:jc w:val="center"/>
              <w:rPr>
                <w:rFonts w:hint="eastAsia" w:ascii="宋体" w:hAnsi="宋体" w:eastAsia="宋体" w:cs="宋体"/>
                <w:i w:val="0"/>
                <w:iCs w:val="0"/>
                <w:color w:val="000000"/>
                <w:sz w:val="18"/>
                <w:szCs w:val="18"/>
                <w:u w:val="none"/>
              </w:rPr>
            </w:pPr>
          </w:p>
        </w:tc>
      </w:tr>
      <w:tr w14:paraId="31F79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5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37DF5">
            <w:pPr>
              <w:jc w:val="center"/>
              <w:rPr>
                <w:rFonts w:hint="eastAsia" w:ascii="宋体" w:hAnsi="宋体" w:eastAsia="宋体" w:cs="宋体"/>
                <w:i w:val="0"/>
                <w:iCs w:val="0"/>
                <w:color w:val="000000"/>
                <w:sz w:val="18"/>
                <w:szCs w:val="18"/>
                <w:u w:val="none"/>
              </w:rPr>
            </w:pPr>
          </w:p>
        </w:tc>
        <w:tc>
          <w:tcPr>
            <w:tcW w:w="1005" w:type="dxa"/>
            <w:tcBorders>
              <w:top w:val="nil"/>
              <w:left w:val="single" w:color="000000" w:sz="8" w:space="0"/>
              <w:bottom w:val="single" w:color="000000" w:sz="8" w:space="0"/>
              <w:right w:val="single" w:color="000000" w:sz="8" w:space="0"/>
            </w:tcBorders>
            <w:shd w:val="clear" w:color="auto" w:fill="auto"/>
            <w:vAlign w:val="center"/>
          </w:tcPr>
          <w:p w14:paraId="26BA7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893" w:type="dxa"/>
            <w:tcBorders>
              <w:top w:val="nil"/>
              <w:left w:val="nil"/>
              <w:bottom w:val="single" w:color="000000" w:sz="8" w:space="0"/>
              <w:right w:val="single" w:color="000000" w:sz="8" w:space="0"/>
            </w:tcBorders>
            <w:shd w:val="clear" w:color="auto" w:fill="auto"/>
            <w:vAlign w:val="center"/>
          </w:tcPr>
          <w:p w14:paraId="02321B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117" w:type="dxa"/>
            <w:tcBorders>
              <w:top w:val="nil"/>
              <w:left w:val="nil"/>
              <w:bottom w:val="single" w:color="000000" w:sz="8" w:space="0"/>
              <w:right w:val="single" w:color="000000" w:sz="8" w:space="0"/>
            </w:tcBorders>
            <w:shd w:val="clear" w:color="auto" w:fill="auto"/>
            <w:vAlign w:val="center"/>
          </w:tcPr>
          <w:p w14:paraId="78787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运转保障率</w:t>
            </w:r>
          </w:p>
        </w:tc>
        <w:tc>
          <w:tcPr>
            <w:tcW w:w="393" w:type="dxa"/>
            <w:tcBorders>
              <w:top w:val="nil"/>
              <w:left w:val="nil"/>
              <w:bottom w:val="single" w:color="000000" w:sz="8" w:space="0"/>
              <w:right w:val="single" w:color="000000" w:sz="8" w:space="0"/>
            </w:tcBorders>
            <w:shd w:val="clear" w:color="auto" w:fill="auto"/>
            <w:vAlign w:val="center"/>
          </w:tcPr>
          <w:p w14:paraId="121B7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26" w:type="dxa"/>
            <w:tcBorders>
              <w:top w:val="nil"/>
              <w:left w:val="nil"/>
              <w:bottom w:val="single" w:color="000000" w:sz="8" w:space="0"/>
              <w:right w:val="single" w:color="000000" w:sz="8" w:space="0"/>
            </w:tcBorders>
            <w:shd w:val="clear" w:color="auto" w:fill="auto"/>
            <w:vAlign w:val="center"/>
          </w:tcPr>
          <w:p w14:paraId="443444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94" w:type="dxa"/>
            <w:tcBorders>
              <w:top w:val="nil"/>
              <w:left w:val="nil"/>
              <w:bottom w:val="single" w:color="000000" w:sz="8" w:space="0"/>
              <w:right w:val="single" w:color="000000" w:sz="8" w:space="0"/>
            </w:tcBorders>
            <w:shd w:val="clear" w:color="auto" w:fill="auto"/>
            <w:vAlign w:val="center"/>
          </w:tcPr>
          <w:p w14:paraId="6B1D9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39" w:type="dxa"/>
            <w:tcBorders>
              <w:top w:val="nil"/>
              <w:left w:val="nil"/>
              <w:bottom w:val="single" w:color="000000" w:sz="8" w:space="0"/>
              <w:right w:val="single" w:color="000000" w:sz="8" w:space="0"/>
            </w:tcBorders>
            <w:shd w:val="clear" w:color="auto" w:fill="auto"/>
            <w:vAlign w:val="center"/>
          </w:tcPr>
          <w:p w14:paraId="0D0C953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82" w:type="dxa"/>
            <w:tcBorders>
              <w:top w:val="nil"/>
              <w:left w:val="nil"/>
              <w:bottom w:val="single" w:color="000000" w:sz="8" w:space="0"/>
              <w:right w:val="single" w:color="000000" w:sz="8" w:space="0"/>
            </w:tcBorders>
            <w:shd w:val="clear" w:color="auto" w:fill="auto"/>
            <w:vAlign w:val="center"/>
          </w:tcPr>
          <w:p w14:paraId="6D7B7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482" w:type="dxa"/>
            <w:tcBorders>
              <w:top w:val="nil"/>
              <w:left w:val="nil"/>
              <w:bottom w:val="single" w:color="000000" w:sz="8" w:space="0"/>
              <w:right w:val="single" w:color="000000" w:sz="8" w:space="0"/>
            </w:tcBorders>
            <w:shd w:val="clear" w:color="auto" w:fill="auto"/>
            <w:vAlign w:val="center"/>
          </w:tcPr>
          <w:p w14:paraId="0ADDC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049B">
            <w:pPr>
              <w:jc w:val="center"/>
              <w:rPr>
                <w:rFonts w:hint="eastAsia" w:ascii="微软雅黑" w:hAnsi="微软雅黑" w:eastAsia="微软雅黑" w:cs="微软雅黑"/>
                <w:i/>
                <w:iCs/>
                <w:color w:val="000000"/>
                <w:sz w:val="16"/>
                <w:szCs w:val="16"/>
                <w:u w:val="none"/>
              </w:rPr>
            </w:pPr>
          </w:p>
        </w:tc>
      </w:tr>
      <w:tr w14:paraId="4C4CA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03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60C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F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641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3B2F">
            <w:pPr>
              <w:rPr>
                <w:rFonts w:hint="eastAsia" w:ascii="宋体" w:hAnsi="宋体" w:eastAsia="宋体" w:cs="宋体"/>
                <w:i w:val="0"/>
                <w:iCs w:val="0"/>
                <w:color w:val="000000"/>
                <w:sz w:val="18"/>
                <w:szCs w:val="18"/>
                <w:u w:val="none"/>
              </w:rPr>
            </w:pPr>
          </w:p>
        </w:tc>
      </w:tr>
      <w:tr w14:paraId="1AFBE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3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2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DCA5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做好受灾群众救助工作，维护社会稳定；及时足额发放救灾资金，确保受灾群众基本生活。</w:t>
            </w:r>
          </w:p>
        </w:tc>
      </w:tr>
      <w:tr w14:paraId="04309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A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2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7537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C95D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6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2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5134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33F9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9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9224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3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14CA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1F8BABA1">
      <w:pPr>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3"/>
        <w:tblW w:w="8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99"/>
        <w:gridCol w:w="919"/>
        <w:gridCol w:w="1112"/>
        <w:gridCol w:w="396"/>
        <w:gridCol w:w="911"/>
        <w:gridCol w:w="396"/>
        <w:gridCol w:w="779"/>
        <w:gridCol w:w="486"/>
        <w:gridCol w:w="486"/>
        <w:gridCol w:w="1260"/>
      </w:tblGrid>
      <w:tr w14:paraId="0A56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5" w:hRule="atLeast"/>
        </w:trPr>
        <w:tc>
          <w:tcPr>
            <w:tcW w:w="832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B0089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B67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9E1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7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1143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51198922T000005938813</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城乡环境综合整治费用</w:t>
            </w:r>
          </w:p>
        </w:tc>
      </w:tr>
      <w:tr w14:paraId="04E78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6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0B5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9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0689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巴中市光雾山诺水河文旅融合发展示范区综合行政执法局部门</w:t>
            </w:r>
          </w:p>
        </w:tc>
        <w:tc>
          <w:tcPr>
            <w:tcW w:w="643" w:type="dxa"/>
            <w:tcBorders>
              <w:top w:val="nil"/>
              <w:left w:val="nil"/>
              <w:bottom w:val="nil"/>
              <w:right w:val="nil"/>
            </w:tcBorders>
            <w:shd w:val="clear" w:color="auto" w:fill="auto"/>
            <w:vAlign w:val="center"/>
          </w:tcPr>
          <w:p w14:paraId="20497DA3">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057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巴中市城市管理综合行政执法支队诺水河大队</w:t>
            </w:r>
          </w:p>
        </w:tc>
      </w:tr>
      <w:tr w14:paraId="0A507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8BCC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ABE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9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DC3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2DBEA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130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85D30">
            <w:pPr>
              <w:rPr>
                <w:rFonts w:hint="eastAsia" w:ascii="宋体" w:hAnsi="宋体" w:eastAsia="宋体" w:cs="宋体"/>
                <w:i w:val="0"/>
                <w:iCs w:val="0"/>
                <w:color w:val="000000"/>
                <w:sz w:val="18"/>
                <w:szCs w:val="18"/>
                <w:u w:val="none"/>
              </w:rPr>
            </w:pPr>
          </w:p>
        </w:tc>
        <w:tc>
          <w:tcPr>
            <w:tcW w:w="1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B8A05">
            <w:pPr>
              <w:rPr>
                <w:rFonts w:hint="eastAsia" w:ascii="宋体" w:hAnsi="宋体" w:eastAsia="宋体" w:cs="宋体"/>
                <w:i w:val="0"/>
                <w:iCs w:val="0"/>
                <w:color w:val="000000"/>
                <w:sz w:val="18"/>
                <w:szCs w:val="18"/>
                <w:u w:val="none"/>
              </w:rPr>
            </w:pPr>
          </w:p>
        </w:tc>
        <w:tc>
          <w:tcPr>
            <w:tcW w:w="397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9834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2024年城乡环境综合整治费用</w:t>
            </w:r>
          </w:p>
        </w:tc>
        <w:tc>
          <w:tcPr>
            <w:tcW w:w="27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62DDB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2024年城乡环境综合整治费用</w:t>
            </w:r>
          </w:p>
        </w:tc>
      </w:tr>
      <w:tr w14:paraId="6EE0E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5B041">
            <w:pPr>
              <w:rPr>
                <w:rFonts w:hint="eastAsia" w:ascii="宋体" w:hAnsi="宋体" w:eastAsia="宋体" w:cs="宋体"/>
                <w:i w:val="0"/>
                <w:iCs w:val="0"/>
                <w:color w:val="000000"/>
                <w:sz w:val="18"/>
                <w:szCs w:val="18"/>
                <w:u w:val="none"/>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DB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7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3314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2024年城乡环境综合整治费用</w:t>
            </w:r>
          </w:p>
        </w:tc>
      </w:tr>
      <w:tr w14:paraId="21AAA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E2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D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29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6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B68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6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F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1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2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5A21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022D0">
            <w:pPr>
              <w:jc w:val="center"/>
              <w:rPr>
                <w:rFonts w:hint="eastAsia" w:ascii="宋体" w:hAnsi="宋体" w:eastAsia="宋体" w:cs="宋体"/>
                <w:i w:val="0"/>
                <w:iCs w:val="0"/>
                <w:color w:val="000000"/>
                <w:sz w:val="18"/>
                <w:szCs w:val="18"/>
                <w:u w:val="none"/>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F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1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10.10</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1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10.10</w:t>
            </w:r>
          </w:p>
        </w:tc>
        <w:tc>
          <w:tcPr>
            <w:tcW w:w="1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C9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2.21</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1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21.88%</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7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6E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47262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E1E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2CFEC">
            <w:pPr>
              <w:jc w:val="center"/>
              <w:rPr>
                <w:rFonts w:hint="eastAsia" w:ascii="宋体" w:hAnsi="宋体" w:eastAsia="宋体" w:cs="宋体"/>
                <w:i w:val="0"/>
                <w:iCs w:val="0"/>
                <w:color w:val="000000"/>
                <w:sz w:val="18"/>
                <w:szCs w:val="18"/>
                <w:u w:val="none"/>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1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9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10.10</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A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10.10</w:t>
            </w:r>
          </w:p>
        </w:tc>
        <w:tc>
          <w:tcPr>
            <w:tcW w:w="1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F3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2.21</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0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21.88%</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8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D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217EF">
            <w:pPr>
              <w:rPr>
                <w:rFonts w:hint="eastAsia" w:ascii="黑体" w:hAnsi="黑体" w:eastAsia="黑体" w:cs="黑体"/>
                <w:i/>
                <w:iCs/>
                <w:color w:val="000000"/>
                <w:sz w:val="18"/>
                <w:szCs w:val="18"/>
                <w:u w:val="none"/>
              </w:rPr>
            </w:pPr>
          </w:p>
        </w:tc>
      </w:tr>
      <w:tr w14:paraId="48F36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D13C7">
            <w:pPr>
              <w:jc w:val="center"/>
              <w:rPr>
                <w:rFonts w:hint="eastAsia" w:ascii="宋体" w:hAnsi="宋体" w:eastAsia="宋体" w:cs="宋体"/>
                <w:i w:val="0"/>
                <w:iCs w:val="0"/>
                <w:color w:val="000000"/>
                <w:sz w:val="18"/>
                <w:szCs w:val="18"/>
                <w:u w:val="none"/>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A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C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B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6FE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8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E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4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3A1B2">
            <w:pPr>
              <w:rPr>
                <w:rFonts w:hint="eastAsia" w:ascii="黑体" w:hAnsi="黑体" w:eastAsia="黑体" w:cs="黑体"/>
                <w:i/>
                <w:iCs/>
                <w:color w:val="000000"/>
                <w:sz w:val="18"/>
                <w:szCs w:val="18"/>
                <w:u w:val="none"/>
              </w:rPr>
            </w:pPr>
          </w:p>
        </w:tc>
      </w:tr>
      <w:tr w14:paraId="34B1D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65DBF">
            <w:pPr>
              <w:jc w:val="center"/>
              <w:rPr>
                <w:rFonts w:hint="eastAsia" w:ascii="宋体" w:hAnsi="宋体" w:eastAsia="宋体" w:cs="宋体"/>
                <w:i w:val="0"/>
                <w:iCs w:val="0"/>
                <w:color w:val="000000"/>
                <w:sz w:val="18"/>
                <w:szCs w:val="18"/>
                <w:u w:val="none"/>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2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A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5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5C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5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03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B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98D2A">
            <w:pPr>
              <w:rPr>
                <w:rFonts w:hint="eastAsia" w:ascii="黑体" w:hAnsi="黑体" w:eastAsia="黑体" w:cs="黑体"/>
                <w:i/>
                <w:iCs/>
                <w:color w:val="000000"/>
                <w:sz w:val="18"/>
                <w:szCs w:val="18"/>
                <w:u w:val="none"/>
              </w:rPr>
            </w:pPr>
          </w:p>
        </w:tc>
      </w:tr>
      <w:tr w14:paraId="7727E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E6BF4">
            <w:pPr>
              <w:jc w:val="center"/>
              <w:rPr>
                <w:rFonts w:hint="eastAsia" w:ascii="宋体" w:hAnsi="宋体" w:eastAsia="宋体" w:cs="宋体"/>
                <w:i w:val="0"/>
                <w:iCs w:val="0"/>
                <w:color w:val="000000"/>
                <w:sz w:val="18"/>
                <w:szCs w:val="18"/>
                <w:u w:val="none"/>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0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CCFB6">
            <w:pPr>
              <w:jc w:val="center"/>
              <w:rPr>
                <w:rFonts w:hint="eastAsia" w:ascii="微软雅黑" w:hAnsi="微软雅黑" w:eastAsia="微软雅黑" w:cs="微软雅黑"/>
                <w:i/>
                <w:iCs/>
                <w:color w:val="000000"/>
                <w:sz w:val="16"/>
                <w:szCs w:val="16"/>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41AA">
            <w:pPr>
              <w:jc w:val="center"/>
              <w:rPr>
                <w:rFonts w:hint="eastAsia" w:ascii="微软雅黑" w:hAnsi="微软雅黑" w:eastAsia="微软雅黑" w:cs="微软雅黑"/>
                <w:i/>
                <w:iCs/>
                <w:color w:val="000000"/>
                <w:sz w:val="16"/>
                <w:szCs w:val="16"/>
                <w:u w:val="none"/>
              </w:rPr>
            </w:pPr>
          </w:p>
        </w:tc>
        <w:tc>
          <w:tcPr>
            <w:tcW w:w="1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E3F191">
            <w:pPr>
              <w:jc w:val="center"/>
              <w:rPr>
                <w:rFonts w:hint="eastAsia" w:ascii="微软雅黑" w:hAnsi="微软雅黑" w:eastAsia="微软雅黑" w:cs="微软雅黑"/>
                <w:i/>
                <w:iCs/>
                <w:color w:val="000000"/>
                <w:sz w:val="16"/>
                <w:szCs w:val="16"/>
                <w:u w:val="none"/>
              </w:rPr>
            </w:pP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7859">
            <w:pPr>
              <w:jc w:val="center"/>
              <w:rPr>
                <w:rFonts w:hint="eastAsia" w:ascii="微软雅黑" w:hAnsi="微软雅黑" w:eastAsia="微软雅黑" w:cs="微软雅黑"/>
                <w:i/>
                <w:iCs/>
                <w:color w:val="000000"/>
                <w:sz w:val="16"/>
                <w:szCs w:val="16"/>
                <w:u w:val="none"/>
              </w:rPr>
            </w:pP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E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6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33B23">
            <w:pPr>
              <w:rPr>
                <w:rFonts w:hint="eastAsia" w:ascii="黑体" w:hAnsi="黑体" w:eastAsia="黑体" w:cs="黑体"/>
                <w:i/>
                <w:iCs/>
                <w:color w:val="000000"/>
                <w:sz w:val="18"/>
                <w:szCs w:val="18"/>
                <w:u w:val="none"/>
              </w:rPr>
            </w:pPr>
          </w:p>
        </w:tc>
      </w:tr>
      <w:tr w14:paraId="641B3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295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7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F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6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EE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7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6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F8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7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8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9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C6C1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9AA01">
            <w:pPr>
              <w:jc w:val="center"/>
              <w:rPr>
                <w:rFonts w:hint="eastAsia" w:ascii="宋体" w:hAnsi="宋体" w:eastAsia="宋体" w:cs="宋体"/>
                <w:i w:val="0"/>
                <w:iCs w:val="0"/>
                <w:color w:val="000000"/>
                <w:sz w:val="18"/>
                <w:szCs w:val="18"/>
                <w:u w:val="none"/>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4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7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3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执法费用</w:t>
            </w: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8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7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100000</w:t>
            </w:r>
          </w:p>
        </w:tc>
        <w:tc>
          <w:tcPr>
            <w:tcW w:w="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7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24A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100000</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E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F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02F3">
            <w:pPr>
              <w:jc w:val="center"/>
              <w:rPr>
                <w:rFonts w:hint="eastAsia" w:ascii="微软雅黑" w:hAnsi="微软雅黑" w:eastAsia="微软雅黑" w:cs="微软雅黑"/>
                <w:i/>
                <w:iCs/>
                <w:color w:val="000000"/>
                <w:sz w:val="16"/>
                <w:szCs w:val="16"/>
                <w:u w:val="none"/>
              </w:rPr>
            </w:pPr>
          </w:p>
        </w:tc>
      </w:tr>
      <w:tr w14:paraId="4BD62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42E0D">
            <w:pPr>
              <w:jc w:val="center"/>
              <w:rPr>
                <w:rFonts w:hint="eastAsia" w:ascii="宋体" w:hAnsi="宋体" w:eastAsia="宋体" w:cs="宋体"/>
                <w:i w:val="0"/>
                <w:iCs w:val="0"/>
                <w:color w:val="000000"/>
                <w:sz w:val="18"/>
                <w:szCs w:val="18"/>
                <w:u w:val="none"/>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0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E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C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执法费用</w:t>
            </w: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3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2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8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6D63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9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0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4916">
            <w:pPr>
              <w:jc w:val="center"/>
              <w:rPr>
                <w:rFonts w:hint="eastAsia" w:ascii="微软雅黑" w:hAnsi="微软雅黑" w:eastAsia="微软雅黑" w:cs="微软雅黑"/>
                <w:i/>
                <w:iCs/>
                <w:color w:val="000000"/>
                <w:sz w:val="16"/>
                <w:szCs w:val="16"/>
                <w:u w:val="none"/>
              </w:rPr>
            </w:pPr>
          </w:p>
        </w:tc>
      </w:tr>
      <w:tr w14:paraId="2826F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62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C02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F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7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5946">
            <w:pPr>
              <w:rPr>
                <w:rFonts w:hint="eastAsia" w:ascii="宋体" w:hAnsi="宋体" w:eastAsia="宋体" w:cs="宋体"/>
                <w:i w:val="0"/>
                <w:iCs w:val="0"/>
                <w:color w:val="000000"/>
                <w:sz w:val="18"/>
                <w:szCs w:val="18"/>
                <w:u w:val="none"/>
              </w:rPr>
            </w:pPr>
          </w:p>
        </w:tc>
      </w:tr>
      <w:tr w14:paraId="7BF72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3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91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0987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2024年城乡环境综合整治费用</w:t>
            </w:r>
          </w:p>
        </w:tc>
      </w:tr>
      <w:tr w14:paraId="6A5B6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48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91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8D4EE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C2F3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0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91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B0430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3F9F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429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4F10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02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A669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78FBEC6F">
      <w:pPr>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3"/>
        <w:tblW w:w="8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21"/>
        <w:gridCol w:w="928"/>
        <w:gridCol w:w="1135"/>
        <w:gridCol w:w="396"/>
        <w:gridCol w:w="814"/>
        <w:gridCol w:w="396"/>
        <w:gridCol w:w="756"/>
        <w:gridCol w:w="486"/>
        <w:gridCol w:w="486"/>
        <w:gridCol w:w="1306"/>
      </w:tblGrid>
      <w:tr w14:paraId="22452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trPr>
        <w:tc>
          <w:tcPr>
            <w:tcW w:w="83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6F814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4E49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16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3CF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CB19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51198923T000008802214</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综合行政执法工作经费</w:t>
            </w:r>
          </w:p>
        </w:tc>
      </w:tr>
      <w:tr w14:paraId="6CBB9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3" w:hRule="atLeast"/>
        </w:trPr>
        <w:tc>
          <w:tcPr>
            <w:tcW w:w="16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0A3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763F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巴中市光雾山诺水河文旅融合发展示范区综合行政执法局部门</w:t>
            </w:r>
          </w:p>
        </w:tc>
        <w:tc>
          <w:tcPr>
            <w:tcW w:w="713" w:type="dxa"/>
            <w:tcBorders>
              <w:top w:val="nil"/>
              <w:left w:val="nil"/>
              <w:bottom w:val="nil"/>
              <w:right w:val="nil"/>
            </w:tcBorders>
            <w:shd w:val="clear" w:color="auto" w:fill="auto"/>
            <w:vAlign w:val="center"/>
          </w:tcPr>
          <w:p w14:paraId="72D30F9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CFC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巴中市城市管理综合行政执法支队诺水河大队</w:t>
            </w:r>
          </w:p>
        </w:tc>
      </w:tr>
      <w:tr w14:paraId="20C24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187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D60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5CE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9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501B5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71A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E340F">
            <w:pPr>
              <w:rPr>
                <w:rFonts w:hint="eastAsia" w:ascii="宋体" w:hAnsi="宋体" w:eastAsia="宋体" w:cs="宋体"/>
                <w:i w:val="0"/>
                <w:iCs w:val="0"/>
                <w:color w:val="000000"/>
                <w:sz w:val="18"/>
                <w:szCs w:val="18"/>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33C61">
            <w:pPr>
              <w:rPr>
                <w:rFonts w:hint="eastAsia" w:ascii="宋体" w:hAnsi="宋体" w:eastAsia="宋体" w:cs="宋体"/>
                <w:i w:val="0"/>
                <w:iCs w:val="0"/>
                <w:color w:val="000000"/>
                <w:sz w:val="18"/>
                <w:szCs w:val="18"/>
                <w:u w:val="none"/>
              </w:rPr>
            </w:pPr>
          </w:p>
        </w:tc>
        <w:tc>
          <w:tcPr>
            <w:tcW w:w="37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FDDD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1.保障办公场所基本能投入使用，满足职工办公和住宿需要，提供安全的办公环境；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2.提升机关办公效率；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3.保障日常办公正常运行。</w:t>
            </w:r>
          </w:p>
        </w:tc>
        <w:tc>
          <w:tcPr>
            <w:tcW w:w="29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3958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1.保障办公场所基本能投入使用，满足职工办公和住宿需要，提供安全的办公环境；</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2.提升机关办公效率；</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3.保障日常办公正常运行。</w:t>
            </w:r>
          </w:p>
        </w:tc>
      </w:tr>
      <w:tr w14:paraId="70A36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3"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C7480">
            <w:pPr>
              <w:rPr>
                <w:rFonts w:hint="eastAsia" w:ascii="宋体" w:hAnsi="宋体" w:eastAsia="宋体" w:cs="宋体"/>
                <w:i w:val="0"/>
                <w:iCs w:val="0"/>
                <w:color w:val="000000"/>
                <w:sz w:val="18"/>
                <w:szCs w:val="18"/>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6C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715B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1.保障办公场所基本能投入使用，满足职工办公和住宿需要，提供安全的办公环境；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2.提升机关办公效率；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3.保障日常办公正常运行。</w:t>
            </w:r>
          </w:p>
        </w:tc>
      </w:tr>
      <w:tr w14:paraId="2C11D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23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F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F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D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5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1C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F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6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4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0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B057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5FE33">
            <w:pPr>
              <w:jc w:val="center"/>
              <w:rPr>
                <w:rFonts w:hint="eastAsia" w:ascii="宋体" w:hAnsi="宋体" w:eastAsia="宋体" w:cs="宋体"/>
                <w:i w:val="0"/>
                <w:iCs w:val="0"/>
                <w:color w:val="000000"/>
                <w:sz w:val="18"/>
                <w:szCs w:val="18"/>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EF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5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40.65</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4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40.62</w:t>
            </w:r>
          </w:p>
        </w:tc>
        <w:tc>
          <w:tcPr>
            <w:tcW w:w="15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B0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23.82</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9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58.64%</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C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4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94F7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19D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E2DF4">
            <w:pPr>
              <w:jc w:val="center"/>
              <w:rPr>
                <w:rFonts w:hint="eastAsia" w:ascii="宋体" w:hAnsi="宋体" w:eastAsia="宋体" w:cs="宋体"/>
                <w:i w:val="0"/>
                <w:iCs w:val="0"/>
                <w:color w:val="000000"/>
                <w:sz w:val="18"/>
                <w:szCs w:val="18"/>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E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EF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40.65</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6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40.62</w:t>
            </w:r>
          </w:p>
        </w:tc>
        <w:tc>
          <w:tcPr>
            <w:tcW w:w="15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D8F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23.82</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1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58.64%</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2A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14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941FA">
            <w:pPr>
              <w:rPr>
                <w:rFonts w:hint="eastAsia" w:ascii="黑体" w:hAnsi="黑体" w:eastAsia="黑体" w:cs="黑体"/>
                <w:i/>
                <w:iCs/>
                <w:color w:val="000000"/>
                <w:sz w:val="18"/>
                <w:szCs w:val="18"/>
                <w:u w:val="none"/>
              </w:rPr>
            </w:pPr>
          </w:p>
        </w:tc>
      </w:tr>
      <w:tr w14:paraId="463D4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E1D10">
            <w:pPr>
              <w:jc w:val="center"/>
              <w:rPr>
                <w:rFonts w:hint="eastAsia" w:ascii="宋体" w:hAnsi="宋体" w:eastAsia="宋体" w:cs="宋体"/>
                <w:i w:val="0"/>
                <w:iCs w:val="0"/>
                <w:color w:val="000000"/>
                <w:sz w:val="18"/>
                <w:szCs w:val="18"/>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BA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B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78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05E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A9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F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3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7D6D1">
            <w:pPr>
              <w:rPr>
                <w:rFonts w:hint="eastAsia" w:ascii="黑体" w:hAnsi="黑体" w:eastAsia="黑体" w:cs="黑体"/>
                <w:i/>
                <w:iCs/>
                <w:color w:val="000000"/>
                <w:sz w:val="18"/>
                <w:szCs w:val="18"/>
                <w:u w:val="none"/>
              </w:rPr>
            </w:pPr>
          </w:p>
        </w:tc>
      </w:tr>
      <w:tr w14:paraId="0F324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9BC4C">
            <w:pPr>
              <w:jc w:val="center"/>
              <w:rPr>
                <w:rFonts w:hint="eastAsia" w:ascii="宋体" w:hAnsi="宋体" w:eastAsia="宋体" w:cs="宋体"/>
                <w:i w:val="0"/>
                <w:iCs w:val="0"/>
                <w:color w:val="000000"/>
                <w:sz w:val="18"/>
                <w:szCs w:val="18"/>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6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F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0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957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3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92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C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437B1">
            <w:pPr>
              <w:rPr>
                <w:rFonts w:hint="eastAsia" w:ascii="黑体" w:hAnsi="黑体" w:eastAsia="黑体" w:cs="黑体"/>
                <w:i/>
                <w:iCs/>
                <w:color w:val="000000"/>
                <w:sz w:val="18"/>
                <w:szCs w:val="18"/>
                <w:u w:val="none"/>
              </w:rPr>
            </w:pPr>
          </w:p>
        </w:tc>
      </w:tr>
      <w:tr w14:paraId="185A3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8AC5B">
            <w:pPr>
              <w:jc w:val="center"/>
              <w:rPr>
                <w:rFonts w:hint="eastAsia" w:ascii="宋体" w:hAnsi="宋体" w:eastAsia="宋体" w:cs="宋体"/>
                <w:i w:val="0"/>
                <w:iCs w:val="0"/>
                <w:color w:val="000000"/>
                <w:sz w:val="18"/>
                <w:szCs w:val="18"/>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C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36CA">
            <w:pPr>
              <w:jc w:val="center"/>
              <w:rPr>
                <w:rFonts w:hint="eastAsia" w:ascii="微软雅黑" w:hAnsi="微软雅黑" w:eastAsia="微软雅黑" w:cs="微软雅黑"/>
                <w:i/>
                <w:iCs/>
                <w:color w:val="000000"/>
                <w:sz w:val="16"/>
                <w:szCs w:val="16"/>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FA37">
            <w:pPr>
              <w:jc w:val="center"/>
              <w:rPr>
                <w:rFonts w:hint="eastAsia" w:ascii="微软雅黑" w:hAnsi="微软雅黑" w:eastAsia="微软雅黑" w:cs="微软雅黑"/>
                <w:i/>
                <w:iCs/>
                <w:color w:val="000000"/>
                <w:sz w:val="16"/>
                <w:szCs w:val="16"/>
                <w:u w:val="none"/>
              </w:rPr>
            </w:pPr>
          </w:p>
        </w:tc>
        <w:tc>
          <w:tcPr>
            <w:tcW w:w="15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6E6EB">
            <w:pPr>
              <w:jc w:val="center"/>
              <w:rPr>
                <w:rFonts w:hint="eastAsia" w:ascii="微软雅黑" w:hAnsi="微软雅黑" w:eastAsia="微软雅黑" w:cs="微软雅黑"/>
                <w:i/>
                <w:iCs/>
                <w:color w:val="000000"/>
                <w:sz w:val="16"/>
                <w:szCs w:val="16"/>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4523">
            <w:pPr>
              <w:jc w:val="center"/>
              <w:rPr>
                <w:rFonts w:hint="eastAsia" w:ascii="微软雅黑" w:hAnsi="微软雅黑" w:eastAsia="微软雅黑" w:cs="微软雅黑"/>
                <w:i/>
                <w:iCs/>
                <w:color w:val="000000"/>
                <w:sz w:val="16"/>
                <w:szCs w:val="16"/>
                <w:u w:val="none"/>
              </w:rPr>
            </w:pP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4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F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BA933">
            <w:pPr>
              <w:rPr>
                <w:rFonts w:hint="eastAsia" w:ascii="黑体" w:hAnsi="黑体" w:eastAsia="黑体" w:cs="黑体"/>
                <w:i/>
                <w:iCs/>
                <w:color w:val="000000"/>
                <w:sz w:val="18"/>
                <w:szCs w:val="18"/>
                <w:u w:val="none"/>
              </w:rPr>
            </w:pPr>
          </w:p>
        </w:tc>
      </w:tr>
      <w:tr w14:paraId="4ED8F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7" w:hRule="atLeast"/>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67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C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A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2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24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8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9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6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51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81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7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8486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CC2EC">
            <w:pPr>
              <w:jc w:val="center"/>
              <w:rPr>
                <w:rFonts w:hint="eastAsia" w:ascii="宋体" w:hAnsi="宋体" w:eastAsia="宋体" w:cs="宋体"/>
                <w:i w:val="0"/>
                <w:iCs w:val="0"/>
                <w:color w:val="000000"/>
                <w:sz w:val="18"/>
                <w:szCs w:val="18"/>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1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E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1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执法工作效率</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D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3F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4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840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8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01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71F0">
            <w:pPr>
              <w:jc w:val="center"/>
              <w:rPr>
                <w:rFonts w:hint="eastAsia" w:ascii="微软雅黑" w:hAnsi="微软雅黑" w:eastAsia="微软雅黑" w:cs="微软雅黑"/>
                <w:i/>
                <w:iCs/>
                <w:color w:val="000000"/>
                <w:sz w:val="16"/>
                <w:szCs w:val="16"/>
                <w:u w:val="none"/>
              </w:rPr>
            </w:pPr>
          </w:p>
        </w:tc>
      </w:tr>
      <w:tr w14:paraId="141C7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DC407">
            <w:pPr>
              <w:jc w:val="center"/>
              <w:rPr>
                <w:rFonts w:hint="eastAsia" w:ascii="宋体" w:hAnsi="宋体" w:eastAsia="宋体" w:cs="宋体"/>
                <w:i w:val="0"/>
                <w:iCs w:val="0"/>
                <w:color w:val="000000"/>
                <w:sz w:val="18"/>
                <w:szCs w:val="18"/>
                <w:u w:val="none"/>
              </w:rPr>
            </w:pPr>
          </w:p>
        </w:tc>
        <w:tc>
          <w:tcPr>
            <w:tcW w:w="10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B6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8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E4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业务保障能力提升情况</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C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C8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提高办公效率</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53F9">
            <w:pPr>
              <w:jc w:val="center"/>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EBD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提高办公效率</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00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2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5778">
            <w:pPr>
              <w:jc w:val="center"/>
              <w:rPr>
                <w:rFonts w:hint="eastAsia" w:ascii="微软雅黑" w:hAnsi="微软雅黑" w:eastAsia="微软雅黑" w:cs="微软雅黑"/>
                <w:i/>
                <w:iCs/>
                <w:color w:val="000000"/>
                <w:sz w:val="16"/>
                <w:szCs w:val="16"/>
                <w:u w:val="none"/>
              </w:rPr>
            </w:pPr>
          </w:p>
        </w:tc>
      </w:tr>
      <w:tr w14:paraId="6699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3"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A5A13">
            <w:pPr>
              <w:jc w:val="center"/>
              <w:rPr>
                <w:rFonts w:hint="eastAsia" w:ascii="宋体" w:hAnsi="宋体" w:eastAsia="宋体" w:cs="宋体"/>
                <w:i w:val="0"/>
                <w:iCs w:val="0"/>
                <w:color w:val="000000"/>
                <w:sz w:val="18"/>
                <w:szCs w:val="18"/>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A3974">
            <w:pPr>
              <w:jc w:val="center"/>
              <w:rPr>
                <w:rFonts w:hint="eastAsia" w:ascii="宋体" w:hAnsi="宋体" w:eastAsia="宋体" w:cs="宋体"/>
                <w:i w:val="0"/>
                <w:iCs w:val="0"/>
                <w:color w:val="000000"/>
                <w:sz w:val="18"/>
                <w:szCs w:val="18"/>
                <w:u w:val="none"/>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1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2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公共服务水平提升情况</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2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9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日常工作顺利开展</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363D">
            <w:pPr>
              <w:jc w:val="center"/>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E16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日常工作顺利开展</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3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9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6F3D">
            <w:pPr>
              <w:jc w:val="center"/>
              <w:rPr>
                <w:rFonts w:hint="eastAsia" w:ascii="微软雅黑" w:hAnsi="微软雅黑" w:eastAsia="微软雅黑" w:cs="微软雅黑"/>
                <w:i/>
                <w:iCs/>
                <w:color w:val="000000"/>
                <w:sz w:val="16"/>
                <w:szCs w:val="16"/>
                <w:u w:val="none"/>
              </w:rPr>
            </w:pPr>
          </w:p>
        </w:tc>
      </w:tr>
      <w:tr w14:paraId="5B9F3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3"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F82AF">
            <w:pPr>
              <w:jc w:val="center"/>
              <w:rPr>
                <w:rFonts w:hint="eastAsia" w:ascii="宋体" w:hAnsi="宋体" w:eastAsia="宋体" w:cs="宋体"/>
                <w:i w:val="0"/>
                <w:iCs w:val="0"/>
                <w:color w:val="000000"/>
                <w:sz w:val="18"/>
                <w:szCs w:val="18"/>
                <w:u w:val="none"/>
              </w:rPr>
            </w:pPr>
          </w:p>
        </w:tc>
        <w:tc>
          <w:tcPr>
            <w:tcW w:w="10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B60BF">
            <w:pPr>
              <w:jc w:val="center"/>
              <w:rPr>
                <w:rFonts w:hint="eastAsia" w:ascii="宋体" w:hAnsi="宋体" w:eastAsia="宋体" w:cs="宋体"/>
                <w:i w:val="0"/>
                <w:iCs w:val="0"/>
                <w:color w:val="000000"/>
                <w:sz w:val="18"/>
                <w:szCs w:val="18"/>
                <w:u w:val="none"/>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1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1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保障日常执法活动正常开展</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F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2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提升群众满意度</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F088">
            <w:pPr>
              <w:jc w:val="center"/>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62B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提升群众满意度</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8A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9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FACC">
            <w:pPr>
              <w:jc w:val="center"/>
              <w:rPr>
                <w:rFonts w:hint="eastAsia" w:ascii="微软雅黑" w:hAnsi="微软雅黑" w:eastAsia="微软雅黑" w:cs="微软雅黑"/>
                <w:i/>
                <w:iCs/>
                <w:color w:val="000000"/>
                <w:sz w:val="16"/>
                <w:szCs w:val="16"/>
                <w:u w:val="none"/>
              </w:rPr>
            </w:pPr>
          </w:p>
        </w:tc>
      </w:tr>
      <w:tr w14:paraId="35927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A92C7">
            <w:pPr>
              <w:jc w:val="center"/>
              <w:rPr>
                <w:rFonts w:hint="eastAsia" w:ascii="宋体" w:hAnsi="宋体" w:eastAsia="宋体" w:cs="宋体"/>
                <w:i w:val="0"/>
                <w:iCs w:val="0"/>
                <w:color w:val="000000"/>
                <w:sz w:val="18"/>
                <w:szCs w:val="18"/>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4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E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B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项目预算控制</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1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8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控制预算</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0DCF">
            <w:pPr>
              <w:jc w:val="center"/>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954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控制预算</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8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7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7BAB">
            <w:pPr>
              <w:jc w:val="center"/>
              <w:rPr>
                <w:rFonts w:hint="eastAsia" w:ascii="微软雅黑" w:hAnsi="微软雅黑" w:eastAsia="微软雅黑" w:cs="微软雅黑"/>
                <w:i/>
                <w:iCs/>
                <w:color w:val="000000"/>
                <w:sz w:val="16"/>
                <w:szCs w:val="16"/>
                <w:u w:val="none"/>
              </w:rPr>
            </w:pPr>
          </w:p>
        </w:tc>
      </w:tr>
      <w:tr w14:paraId="2848F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3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95E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3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3B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7B54">
            <w:pPr>
              <w:rPr>
                <w:rFonts w:hint="eastAsia" w:ascii="宋体" w:hAnsi="宋体" w:eastAsia="宋体" w:cs="宋体"/>
                <w:i w:val="0"/>
                <w:iCs w:val="0"/>
                <w:color w:val="000000"/>
                <w:sz w:val="18"/>
                <w:szCs w:val="18"/>
                <w:u w:val="none"/>
              </w:rPr>
            </w:pPr>
          </w:p>
        </w:tc>
      </w:tr>
      <w:tr w14:paraId="1A92F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3"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A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5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DDA21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1.保障办公场所基本能投入使用，满足职工办公和住宿需要，提供安全的办公环境；</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2.提升机关办公效率；</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3.保障日常办公正常运行。</w:t>
            </w:r>
          </w:p>
        </w:tc>
      </w:tr>
      <w:tr w14:paraId="73066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A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5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3FB73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ACD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A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5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FF9C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3771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40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FA6F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2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B373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56D423F2">
      <w:pPr>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3"/>
        <w:tblW w:w="83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39"/>
        <w:gridCol w:w="918"/>
        <w:gridCol w:w="1132"/>
        <w:gridCol w:w="396"/>
        <w:gridCol w:w="831"/>
        <w:gridCol w:w="396"/>
        <w:gridCol w:w="756"/>
        <w:gridCol w:w="486"/>
        <w:gridCol w:w="486"/>
        <w:gridCol w:w="1324"/>
      </w:tblGrid>
      <w:tr w14:paraId="59394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trPr>
        <w:tc>
          <w:tcPr>
            <w:tcW w:w="83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FA206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CCF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 w:hRule="atLeast"/>
        </w:trPr>
        <w:tc>
          <w:tcPr>
            <w:tcW w:w="16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DE9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72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B834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51198925T000013323449</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食堂运行经费</w:t>
            </w:r>
          </w:p>
        </w:tc>
      </w:tr>
      <w:tr w14:paraId="3B764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16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B9F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12A1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巴中市光雾山诺水河文旅融合发展示范区综合行政执法局部门</w:t>
            </w:r>
          </w:p>
        </w:tc>
        <w:tc>
          <w:tcPr>
            <w:tcW w:w="705" w:type="dxa"/>
            <w:tcBorders>
              <w:top w:val="nil"/>
              <w:left w:val="nil"/>
              <w:bottom w:val="nil"/>
              <w:right w:val="nil"/>
            </w:tcBorders>
            <w:shd w:val="clear" w:color="auto" w:fill="auto"/>
            <w:vAlign w:val="center"/>
          </w:tcPr>
          <w:p w14:paraId="63E75C7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B5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巴中市城市管理综合行政执法支队诺水河大队</w:t>
            </w:r>
          </w:p>
        </w:tc>
      </w:tr>
      <w:tr w14:paraId="75711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 w:hRule="atLeast"/>
        </w:trPr>
        <w:tc>
          <w:tcPr>
            <w:tcW w:w="5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EAB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A5C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930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98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B5F56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563D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8"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30718">
            <w:pP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D208B">
            <w:pPr>
              <w:rPr>
                <w:rFonts w:hint="eastAsia" w:ascii="宋体" w:hAnsi="宋体" w:eastAsia="宋体" w:cs="宋体"/>
                <w:i w:val="0"/>
                <w:iCs w:val="0"/>
                <w:color w:val="000000"/>
                <w:sz w:val="18"/>
                <w:szCs w:val="18"/>
                <w:u w:val="none"/>
              </w:rPr>
            </w:pPr>
          </w:p>
        </w:tc>
        <w:tc>
          <w:tcPr>
            <w:tcW w:w="37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E8FA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保障职工就餐</w:t>
            </w:r>
          </w:p>
        </w:tc>
        <w:tc>
          <w:tcPr>
            <w:tcW w:w="298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4C322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保障职工就餐</w:t>
            </w:r>
          </w:p>
        </w:tc>
      </w:tr>
      <w:tr w14:paraId="6AFA7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05BEE">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383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72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77BE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保障职工就餐</w:t>
            </w:r>
          </w:p>
        </w:tc>
      </w:tr>
      <w:tr w14:paraId="6E009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2A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7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7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B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135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C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2A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C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9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66DD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29DF9">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3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F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5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6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F3D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2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56.98%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9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0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B53B6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0C40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929E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F9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0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2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6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82E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5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56.98%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A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1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2669E">
            <w:pPr>
              <w:rPr>
                <w:rFonts w:hint="eastAsia" w:ascii="黑体" w:hAnsi="黑体" w:eastAsia="黑体" w:cs="黑体"/>
                <w:i/>
                <w:iCs/>
                <w:color w:val="000000"/>
                <w:sz w:val="18"/>
                <w:szCs w:val="18"/>
                <w:u w:val="none"/>
              </w:rPr>
            </w:pPr>
          </w:p>
        </w:tc>
      </w:tr>
      <w:tr w14:paraId="0B34F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D56DB">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9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8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F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07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F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C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0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AE11">
            <w:pPr>
              <w:rPr>
                <w:rFonts w:hint="eastAsia" w:ascii="黑体" w:hAnsi="黑体" w:eastAsia="黑体" w:cs="黑体"/>
                <w:i/>
                <w:iCs/>
                <w:color w:val="000000"/>
                <w:sz w:val="18"/>
                <w:szCs w:val="18"/>
                <w:u w:val="none"/>
              </w:rPr>
            </w:pPr>
          </w:p>
        </w:tc>
      </w:tr>
      <w:tr w14:paraId="26828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1"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4C439">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C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1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A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7D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7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D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E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56476">
            <w:pPr>
              <w:rPr>
                <w:rFonts w:hint="eastAsia" w:ascii="黑体" w:hAnsi="黑体" w:eastAsia="黑体" w:cs="黑体"/>
                <w:i/>
                <w:iCs/>
                <w:color w:val="000000"/>
                <w:sz w:val="18"/>
                <w:szCs w:val="18"/>
                <w:u w:val="none"/>
              </w:rPr>
            </w:pPr>
          </w:p>
        </w:tc>
      </w:tr>
      <w:tr w14:paraId="10CFC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0"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3A1B1">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C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132F">
            <w:pPr>
              <w:jc w:val="center"/>
              <w:rPr>
                <w:rFonts w:hint="eastAsia" w:ascii="微软雅黑" w:hAnsi="微软雅黑" w:eastAsia="微软雅黑" w:cs="微软雅黑"/>
                <w:i/>
                <w:iCs/>
                <w:color w:val="000000"/>
                <w:sz w:val="16"/>
                <w:szCs w:val="16"/>
                <w:u w:val="none"/>
              </w:rPr>
            </w:pP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93A8">
            <w:pPr>
              <w:jc w:val="center"/>
              <w:rPr>
                <w:rFonts w:hint="eastAsia" w:ascii="微软雅黑" w:hAnsi="微软雅黑" w:eastAsia="微软雅黑" w:cs="微软雅黑"/>
                <w:i/>
                <w:iCs/>
                <w:color w:val="000000"/>
                <w:sz w:val="16"/>
                <w:szCs w:val="16"/>
                <w:u w:val="none"/>
              </w:rPr>
            </w:pPr>
          </w:p>
        </w:tc>
        <w:tc>
          <w:tcPr>
            <w:tcW w:w="16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3E52B4">
            <w:pPr>
              <w:jc w:val="center"/>
              <w:rPr>
                <w:rFonts w:hint="eastAsia" w:ascii="微软雅黑" w:hAnsi="微软雅黑" w:eastAsia="微软雅黑" w:cs="微软雅黑"/>
                <w:i/>
                <w:iCs/>
                <w:color w:val="000000"/>
                <w:sz w:val="16"/>
                <w:szCs w:val="16"/>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4199">
            <w:pPr>
              <w:jc w:val="center"/>
              <w:rPr>
                <w:rFonts w:hint="eastAsia" w:ascii="微软雅黑" w:hAnsi="微软雅黑" w:eastAsia="微软雅黑" w:cs="微软雅黑"/>
                <w:i/>
                <w:iCs/>
                <w:color w:val="000000"/>
                <w:sz w:val="16"/>
                <w:szCs w:val="16"/>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E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B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1386F">
            <w:pPr>
              <w:rPr>
                <w:rFonts w:hint="eastAsia" w:ascii="黑体" w:hAnsi="黑体" w:eastAsia="黑体" w:cs="黑体"/>
                <w:i/>
                <w:iCs/>
                <w:color w:val="000000"/>
                <w:sz w:val="18"/>
                <w:szCs w:val="18"/>
                <w:u w:val="none"/>
              </w:rPr>
            </w:pPr>
          </w:p>
        </w:tc>
      </w:tr>
      <w:tr w14:paraId="34091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7" w:hRule="atLeast"/>
        </w:trPr>
        <w:tc>
          <w:tcPr>
            <w:tcW w:w="5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80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E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6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0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4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7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9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E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E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2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5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2956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2D1B7">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B8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F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1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就餐人数</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A6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1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2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C6E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E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A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7EB1">
            <w:pPr>
              <w:jc w:val="center"/>
              <w:rPr>
                <w:rFonts w:hint="eastAsia" w:ascii="微软雅黑" w:hAnsi="微软雅黑" w:eastAsia="微软雅黑" w:cs="微软雅黑"/>
                <w:i/>
                <w:iCs/>
                <w:color w:val="000000"/>
                <w:sz w:val="16"/>
                <w:szCs w:val="16"/>
                <w:u w:val="none"/>
              </w:rPr>
            </w:pPr>
          </w:p>
        </w:tc>
      </w:tr>
      <w:tr w14:paraId="0AA2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7"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47E2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A5EFE">
            <w:pPr>
              <w:jc w:val="center"/>
              <w:rPr>
                <w:rFonts w:hint="eastAsia" w:ascii="宋体" w:hAnsi="宋体" w:eastAsia="宋体" w:cs="宋体"/>
                <w:i w:val="0"/>
                <w:iCs w:val="0"/>
                <w:color w:val="000000"/>
                <w:sz w:val="18"/>
                <w:szCs w:val="18"/>
                <w:u w:val="none"/>
              </w:rPr>
            </w:pPr>
          </w:p>
        </w:tc>
        <w:tc>
          <w:tcPr>
            <w:tcW w:w="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B6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A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食堂采购程序合规</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7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2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w:t>
            </w:r>
            <w:r>
              <w:rPr>
                <w:rFonts w:hint="eastAsia" w:ascii="宋体" w:hAnsi="宋体" w:eastAsia="宋体" w:cs="宋体"/>
                <w:i w:val="0"/>
                <w:iCs w:val="0"/>
                <w:color w:val="000000"/>
                <w:kern w:val="0"/>
                <w:sz w:val="18"/>
                <w:szCs w:val="18"/>
                <w:u w:val="none"/>
                <w:lang w:val="en-US" w:eastAsia="zh-CN" w:bidi="ar"/>
              </w:rPr>
              <w:t>执行</w:t>
            </w:r>
            <w:r>
              <w:rPr>
                <w:rFonts w:ascii="宋体" w:hAnsi="宋体" w:eastAsia="宋体" w:cs="宋体"/>
                <w:i w:val="0"/>
                <w:iCs w:val="0"/>
                <w:color w:val="000000"/>
                <w:kern w:val="0"/>
                <w:sz w:val="18"/>
                <w:szCs w:val="18"/>
                <w:u w:val="none"/>
                <w:lang w:val="en-US" w:eastAsia="zh-CN" w:bidi="ar"/>
              </w:rPr>
              <w:t>财务制度</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E7BA">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F30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严格执行财务制度</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F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C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6507">
            <w:pPr>
              <w:jc w:val="center"/>
              <w:rPr>
                <w:rFonts w:hint="eastAsia" w:ascii="微软雅黑" w:hAnsi="微软雅黑" w:eastAsia="微软雅黑" w:cs="微软雅黑"/>
                <w:i/>
                <w:iCs/>
                <w:color w:val="000000"/>
                <w:sz w:val="16"/>
                <w:szCs w:val="16"/>
                <w:u w:val="none"/>
              </w:rPr>
            </w:pPr>
          </w:p>
        </w:tc>
      </w:tr>
      <w:tr w14:paraId="335E4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8E331">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28840">
            <w:pPr>
              <w:jc w:val="center"/>
              <w:rPr>
                <w:rFonts w:hint="eastAsia" w:ascii="宋体" w:hAnsi="宋体" w:eastAsia="宋体" w:cs="宋体"/>
                <w:i w:val="0"/>
                <w:iCs w:val="0"/>
                <w:color w:val="000000"/>
                <w:sz w:val="18"/>
                <w:szCs w:val="18"/>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5ACF2">
            <w:pPr>
              <w:jc w:val="center"/>
              <w:rPr>
                <w:rFonts w:hint="eastAsia" w:ascii="宋体" w:hAnsi="宋体" w:eastAsia="宋体" w:cs="宋体"/>
                <w:i w:val="0"/>
                <w:iCs w:val="0"/>
                <w:color w:val="000000"/>
                <w:sz w:val="18"/>
                <w:szCs w:val="18"/>
                <w:u w:val="none"/>
              </w:rPr>
            </w:pP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D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经费支出合规性</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4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0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严格执行财经</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5137">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8A7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严格执行财经</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F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5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4E29">
            <w:pPr>
              <w:jc w:val="center"/>
              <w:rPr>
                <w:rFonts w:hint="eastAsia" w:ascii="微软雅黑" w:hAnsi="微软雅黑" w:eastAsia="微软雅黑" w:cs="微软雅黑"/>
                <w:i/>
                <w:iCs/>
                <w:color w:val="000000"/>
                <w:sz w:val="16"/>
                <w:szCs w:val="16"/>
                <w:u w:val="none"/>
              </w:rPr>
            </w:pPr>
          </w:p>
        </w:tc>
      </w:tr>
      <w:tr w14:paraId="0C879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FE87E">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DBD96">
            <w:pPr>
              <w:jc w:val="center"/>
              <w:rPr>
                <w:rFonts w:hint="eastAsia" w:ascii="宋体" w:hAnsi="宋体" w:eastAsia="宋体" w:cs="宋体"/>
                <w:i w:val="0"/>
                <w:iCs w:val="0"/>
                <w:color w:val="000000"/>
                <w:sz w:val="18"/>
                <w:szCs w:val="18"/>
                <w:u w:val="none"/>
              </w:rPr>
            </w:pP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4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7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就餐及时</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3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3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1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FF01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B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9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9CD0">
            <w:pPr>
              <w:jc w:val="center"/>
              <w:rPr>
                <w:rFonts w:hint="eastAsia" w:ascii="微软雅黑" w:hAnsi="微软雅黑" w:eastAsia="微软雅黑" w:cs="微软雅黑"/>
                <w:i/>
                <w:iCs/>
                <w:color w:val="000000"/>
                <w:sz w:val="16"/>
                <w:szCs w:val="16"/>
                <w:u w:val="none"/>
              </w:rPr>
            </w:pPr>
          </w:p>
        </w:tc>
      </w:tr>
      <w:tr w14:paraId="4DE88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49B14">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E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4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F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工作积极性高</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2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A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影响程度明显</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F90F">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044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影响程度明显</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8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9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9566">
            <w:pPr>
              <w:jc w:val="center"/>
              <w:rPr>
                <w:rFonts w:hint="eastAsia" w:ascii="微软雅黑" w:hAnsi="微软雅黑" w:eastAsia="微软雅黑" w:cs="微软雅黑"/>
                <w:i/>
                <w:iCs/>
                <w:color w:val="000000"/>
                <w:sz w:val="16"/>
                <w:szCs w:val="16"/>
                <w:u w:val="none"/>
              </w:rPr>
            </w:pPr>
          </w:p>
        </w:tc>
      </w:tr>
      <w:tr w14:paraId="5250F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B90AE">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7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4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9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职工满意</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E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BA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2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697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81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9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D7547">
            <w:pPr>
              <w:jc w:val="center"/>
              <w:rPr>
                <w:rFonts w:hint="eastAsia" w:ascii="微软雅黑" w:hAnsi="微软雅黑" w:eastAsia="微软雅黑" w:cs="微软雅黑"/>
                <w:i/>
                <w:iCs/>
                <w:color w:val="000000"/>
                <w:sz w:val="16"/>
                <w:szCs w:val="16"/>
                <w:u w:val="none"/>
              </w:rPr>
            </w:pPr>
          </w:p>
        </w:tc>
      </w:tr>
      <w:tr w14:paraId="1A19F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 w:hRule="atLeast"/>
        </w:trPr>
        <w:tc>
          <w:tcPr>
            <w:tcW w:w="60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ECF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3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4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C5A1B">
            <w:pPr>
              <w:rPr>
                <w:rFonts w:hint="eastAsia" w:ascii="宋体" w:hAnsi="宋体" w:eastAsia="宋体" w:cs="宋体"/>
                <w:i w:val="0"/>
                <w:iCs w:val="0"/>
                <w:color w:val="000000"/>
                <w:sz w:val="18"/>
                <w:szCs w:val="18"/>
                <w:u w:val="none"/>
              </w:rPr>
            </w:pPr>
          </w:p>
        </w:tc>
      </w:tr>
      <w:tr w14:paraId="14A1F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A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80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EB9E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保障职工就餐</w:t>
            </w:r>
          </w:p>
        </w:tc>
      </w:tr>
      <w:tr w14:paraId="00FDB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7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80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C3FBE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F1EF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3"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F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80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AFBEA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EB3F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41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B9A8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2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0C65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2D918122">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sz w:val="32"/>
          <w:szCs w:val="32"/>
          <w:u w:val="none"/>
          <w:lang w:val="en-US" w:eastAsia="zh-CN" w:bidi="ar"/>
        </w:rPr>
      </w:pPr>
    </w:p>
    <w:p w14:paraId="7E6DF2E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74CA297-19D8-4B89-ADF6-715D476B2E05}"/>
  </w:font>
  <w:font w:name="黑体">
    <w:panose1 w:val="02010609060101010101"/>
    <w:charset w:val="86"/>
    <w:family w:val="auto"/>
    <w:pitch w:val="default"/>
    <w:sig w:usb0="800002BF" w:usb1="38CF7CFA" w:usb2="00000016" w:usb3="00000000" w:csb0="00040001" w:csb1="00000000"/>
    <w:embedRegular r:id="rId2" w:fontKey="{103CE59C-34E8-460B-99E2-9E6EDBD21D6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3" w:fontKey="{D213931A-7001-462D-B62B-4C522A05EF40}"/>
  </w:font>
  <w:font w:name="方正小标宋简体">
    <w:panose1 w:val="02000000000000000000"/>
    <w:charset w:val="86"/>
    <w:family w:val="script"/>
    <w:pitch w:val="default"/>
    <w:sig w:usb0="00000001" w:usb1="08000000" w:usb2="00000000" w:usb3="00000000" w:csb0="00040000" w:csb1="00000000"/>
    <w:embedRegular r:id="rId4" w:fontKey="{1B21914C-C90B-4453-B323-BD52A33138E7}"/>
  </w:font>
  <w:font w:name="楷体_GB2312">
    <w:altName w:val="楷体"/>
    <w:panose1 w:val="02010609030101010101"/>
    <w:charset w:val="86"/>
    <w:family w:val="auto"/>
    <w:pitch w:val="default"/>
    <w:sig w:usb0="00000000" w:usb1="00000000" w:usb2="00000000" w:usb3="00000000" w:csb0="00040000" w:csb1="00000000"/>
    <w:embedRegular r:id="rId5" w:fontKey="{C231ABF6-B401-463C-A360-24C26EC2A3F2}"/>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embedRegular r:id="rId6" w:fontKey="{AE6CE2F4-894B-47F4-94D6-4E4E35FC798A}"/>
  </w:font>
  <w:font w:name="微软雅黑">
    <w:panose1 w:val="020B0503020204020204"/>
    <w:charset w:val="86"/>
    <w:family w:val="auto"/>
    <w:pitch w:val="default"/>
    <w:sig w:usb0="80000287" w:usb1="2ACF3C50" w:usb2="00000016" w:usb3="00000000" w:csb0="0004001F" w:csb1="00000000"/>
    <w:embedRegular r:id="rId7" w:fontKey="{9C537AC5-5FF5-40BE-9BD0-6DEE7F64CDA9}"/>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60334E"/>
    <w:rsid w:val="0260334E"/>
    <w:rsid w:val="1BB13D28"/>
    <w:rsid w:val="3AE95E32"/>
    <w:rsid w:val="687B3194"/>
    <w:rsid w:val="765A58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beforeLines="30"/>
    </w:pPr>
    <w:rPr>
      <w:rFonts w:ascii="仿宋_GB2312" w:eastAsia="仿宋_GB2312"/>
      <w:kern w:val="0"/>
      <w:sz w:val="30"/>
    </w:rPr>
  </w:style>
  <w:style w:type="character" w:customStyle="1" w:styleId="5">
    <w:name w:val="font141"/>
    <w:basedOn w:val="4"/>
    <w:uiPriority w:val="0"/>
    <w:rPr>
      <w:rFonts w:ascii="黑体" w:hAnsi="宋体" w:eastAsia="黑体" w:cs="黑体"/>
      <w:color w:val="000000"/>
      <w:sz w:val="24"/>
      <w:szCs w:val="24"/>
      <w:u w:val="none"/>
    </w:rPr>
  </w:style>
  <w:style w:type="character" w:customStyle="1" w:styleId="6">
    <w:name w:val="font91"/>
    <w:basedOn w:val="4"/>
    <w:uiPriority w:val="0"/>
    <w:rPr>
      <w:rFonts w:hint="default" w:ascii="Times New Roman" w:hAnsi="Times New Roman" w:cs="Times New Roman"/>
      <w:color w:val="000000"/>
      <w:sz w:val="24"/>
      <w:szCs w:val="24"/>
      <w:u w:val="none"/>
    </w:rPr>
  </w:style>
  <w:style w:type="character" w:customStyle="1" w:styleId="7">
    <w:name w:val="font151"/>
    <w:basedOn w:val="4"/>
    <w:uiPriority w:val="0"/>
    <w:rPr>
      <w:rFonts w:hint="eastAsia" w:ascii="宋体" w:hAnsi="宋体" w:eastAsia="宋体" w:cs="宋体"/>
      <w:b/>
      <w:bCs/>
      <w:color w:val="000000"/>
      <w:sz w:val="24"/>
      <w:szCs w:val="24"/>
      <w:u w:val="none"/>
    </w:rPr>
  </w:style>
  <w:style w:type="character" w:customStyle="1" w:styleId="8">
    <w:name w:val="font121"/>
    <w:basedOn w:val="4"/>
    <w:uiPriority w:val="0"/>
    <w:rPr>
      <w:rFonts w:hint="default" w:ascii="Times New Roman" w:hAnsi="Times New Roman" w:cs="Times New Roman"/>
      <w:b/>
      <w:bCs/>
      <w:color w:val="000000"/>
      <w:sz w:val="24"/>
      <w:szCs w:val="24"/>
      <w:u w:val="none"/>
    </w:rPr>
  </w:style>
  <w:style w:type="character" w:customStyle="1" w:styleId="9">
    <w:name w:val="font21"/>
    <w:basedOn w:val="4"/>
    <w:uiPriority w:val="0"/>
    <w:rPr>
      <w:rFonts w:hint="eastAsia" w:ascii="宋体" w:hAnsi="宋体" w:eastAsia="宋体" w:cs="宋体"/>
      <w:color w:val="000000"/>
      <w:sz w:val="24"/>
      <w:szCs w:val="24"/>
      <w:u w:val="none"/>
    </w:rPr>
  </w:style>
  <w:style w:type="character" w:customStyle="1" w:styleId="10">
    <w:name w:val="font161"/>
    <w:basedOn w:val="4"/>
    <w:uiPriority w:val="0"/>
    <w:rPr>
      <w:rFonts w:hint="eastAsia" w:ascii="宋体" w:hAnsi="宋体" w:eastAsia="宋体" w:cs="宋体"/>
      <w:color w:val="FF0000"/>
      <w:sz w:val="24"/>
      <w:szCs w:val="24"/>
      <w:u w:val="none"/>
    </w:rPr>
  </w:style>
  <w:style w:type="character" w:customStyle="1" w:styleId="11">
    <w:name w:val="font171"/>
    <w:basedOn w:val="4"/>
    <w:uiPriority w:val="0"/>
    <w:rPr>
      <w:rFonts w:hint="default" w:ascii="Times New Roman" w:hAnsi="Times New Roman" w:cs="Times New Roman"/>
      <w:color w:val="FF0000"/>
      <w:sz w:val="24"/>
      <w:szCs w:val="24"/>
      <w:u w:val="none"/>
    </w:rPr>
  </w:style>
  <w:style w:type="character" w:customStyle="1" w:styleId="12">
    <w:name w:val="font31"/>
    <w:basedOn w:val="4"/>
    <w:uiPriority w:val="0"/>
    <w:rPr>
      <w:rFonts w:hint="eastAsia" w:ascii="宋体" w:hAnsi="宋体" w:eastAsia="宋体" w:cs="宋体"/>
      <w:color w:val="000000"/>
      <w:sz w:val="24"/>
      <w:szCs w:val="24"/>
      <w:u w:val="none"/>
    </w:rPr>
  </w:style>
  <w:style w:type="character" w:customStyle="1" w:styleId="13">
    <w:name w:val="font51"/>
    <w:basedOn w:val="4"/>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4668</Words>
  <Characters>5193</Characters>
  <Lines>0</Lines>
  <Paragraphs>0</Paragraphs>
  <TotalTime>0</TotalTime>
  <ScaleCrop>false</ScaleCrop>
  <LinksUpToDate>false</LinksUpToDate>
  <CharactersWithSpaces>5197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2026-09-23T13:48:00Z</dcterms:created>
  <dc:creator>文芳</dc:creator>
  <cp:lastModifiedBy>中和初八</cp:lastModifiedBy>
  <dcterms:modified xsi:type="dcterms:W3CDTF">2026-09-29T09:33:26Z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B9595AAFA1144EDE9A9DD158BC8DD303_13</vt:lpwstr>
  </property>
  <property fmtid="{D5CDD505-2E9C-101B-9397-08002B2CF9AE}" pid="4" name="KSOTemplateDocerSaveRecord">
    <vt:lpwstr>eyJoZGlkIjoiZmYwODFiZmM2OGZhMDk4Y2JiNDM2YWU3ZWViODg2ZjUiLCJ1c2VySWQiOiI3NzA1NjI2OTgifQ==</vt:lpwstr>
  </property>
</Properties>
</file>